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170" w:type="dxa"/>
          <w:right w:w="170" w:type="dxa"/>
        </w:tblCellMar>
        <w:tblLook w:val="04A0" w:firstRow="1" w:lastRow="0" w:firstColumn="1" w:lastColumn="0" w:noHBand="0" w:noVBand="1"/>
      </w:tblPr>
      <w:tblGrid>
        <w:gridCol w:w="10034"/>
      </w:tblGrid>
      <w:tr w:rsidR="00C20562" w:rsidRPr="00C20562" w14:paraId="707AB863" w14:textId="77777777" w:rsidTr="00BB3712">
        <w:trPr>
          <w:trHeight w:hRule="exact" w:val="2796"/>
        </w:trPr>
        <w:tc>
          <w:tcPr>
            <w:tcW w:w="9468" w:type="dxa"/>
            <w:shd w:val="clear" w:color="auto" w:fill="auto"/>
          </w:tcPr>
          <w:p w14:paraId="5B33E23A" w14:textId="7733B8C9" w:rsidR="00C20562" w:rsidRPr="00C20562" w:rsidRDefault="00C20562" w:rsidP="00323E71"/>
        </w:tc>
      </w:tr>
      <w:tr w:rsidR="00C20562" w:rsidRPr="00550D4A" w14:paraId="7F1BC156" w14:textId="77777777" w:rsidTr="00BB3712">
        <w:trPr>
          <w:trHeight w:hRule="exact" w:val="4253"/>
        </w:trPr>
        <w:tc>
          <w:tcPr>
            <w:tcW w:w="9468" w:type="dxa"/>
            <w:shd w:val="clear" w:color="auto" w:fill="auto"/>
          </w:tcPr>
          <w:p w14:paraId="2F00AEB1" w14:textId="77777777" w:rsidR="00262D6E" w:rsidRDefault="00262D6E" w:rsidP="00262D6E">
            <w:pPr>
              <w:outlineLvl w:val="0"/>
              <w:rPr>
                <w:b/>
                <w:sz w:val="52"/>
                <w:szCs w:val="52"/>
              </w:rPr>
            </w:pPr>
          </w:p>
          <w:p w14:paraId="483A988A" w14:textId="77777777" w:rsidR="00262D6E" w:rsidRPr="00E5329B" w:rsidRDefault="00262D6E" w:rsidP="00262D6E">
            <w:pPr>
              <w:outlineLvl w:val="0"/>
              <w:rPr>
                <w:sz w:val="48"/>
                <w:szCs w:val="48"/>
                <w:lang w:bidi="ar-SA"/>
              </w:rPr>
            </w:pPr>
            <w:r w:rsidRPr="00E5329B">
              <w:rPr>
                <w:b/>
                <w:sz w:val="48"/>
                <w:szCs w:val="48"/>
              </w:rPr>
              <w:t>Mental Health Casework Section</w:t>
            </w:r>
          </w:p>
          <w:p w14:paraId="0AFAB09D" w14:textId="77777777" w:rsidR="00973B17" w:rsidRDefault="00973B17" w:rsidP="00262D6E">
            <w:pPr>
              <w:tabs>
                <w:tab w:val="left" w:pos="6795"/>
              </w:tabs>
              <w:outlineLvl w:val="0"/>
              <w:rPr>
                <w:sz w:val="40"/>
                <w:szCs w:val="40"/>
              </w:rPr>
            </w:pPr>
          </w:p>
          <w:p w14:paraId="4E563FA4" w14:textId="77777777" w:rsidR="00973B17" w:rsidRDefault="00973B17" w:rsidP="00973B17">
            <w:pPr>
              <w:tabs>
                <w:tab w:val="left" w:pos="6795"/>
              </w:tabs>
              <w:outlineLvl w:val="0"/>
              <w:rPr>
                <w:sz w:val="38"/>
                <w:szCs w:val="38"/>
              </w:rPr>
            </w:pPr>
            <w:r>
              <w:rPr>
                <w:sz w:val="38"/>
                <w:szCs w:val="38"/>
              </w:rPr>
              <w:t>Guidance:</w:t>
            </w:r>
          </w:p>
          <w:p w14:paraId="5769DACD" w14:textId="11B5E914" w:rsidR="00DD4792" w:rsidRPr="00FE698B" w:rsidRDefault="00DD4792" w:rsidP="00DD4792">
            <w:pPr>
              <w:tabs>
                <w:tab w:val="left" w:pos="6795"/>
              </w:tabs>
              <w:outlineLvl w:val="0"/>
              <w:rPr>
                <w:sz w:val="38"/>
                <w:szCs w:val="38"/>
              </w:rPr>
            </w:pPr>
            <w:r w:rsidRPr="00FE698B">
              <w:rPr>
                <w:sz w:val="38"/>
                <w:szCs w:val="38"/>
              </w:rPr>
              <w:t xml:space="preserve">Section </w:t>
            </w:r>
            <w:r w:rsidR="001F6381">
              <w:rPr>
                <w:sz w:val="38"/>
                <w:szCs w:val="38"/>
              </w:rPr>
              <w:t>42</w:t>
            </w:r>
            <w:r w:rsidRPr="00FE698B">
              <w:rPr>
                <w:sz w:val="38"/>
                <w:szCs w:val="38"/>
              </w:rPr>
              <w:t xml:space="preserve"> </w:t>
            </w:r>
            <w:r w:rsidR="00E2647D">
              <w:rPr>
                <w:sz w:val="38"/>
                <w:szCs w:val="38"/>
              </w:rPr>
              <w:t>Discharge</w:t>
            </w:r>
          </w:p>
          <w:p w14:paraId="352C49E6" w14:textId="77777777" w:rsidR="00550D4A" w:rsidRPr="00550D4A" w:rsidRDefault="00550D4A" w:rsidP="00973B17">
            <w:pPr>
              <w:tabs>
                <w:tab w:val="left" w:pos="6795"/>
              </w:tabs>
              <w:outlineLvl w:val="0"/>
            </w:pPr>
          </w:p>
        </w:tc>
      </w:tr>
      <w:tr w:rsidR="00C20562" w:rsidRPr="00EA1B3A" w14:paraId="130937FA" w14:textId="77777777" w:rsidTr="00BB3712">
        <w:trPr>
          <w:trHeight w:hRule="exact" w:val="1985"/>
        </w:trPr>
        <w:tc>
          <w:tcPr>
            <w:tcW w:w="9468" w:type="dxa"/>
            <w:shd w:val="clear" w:color="auto" w:fill="auto"/>
          </w:tcPr>
          <w:p w14:paraId="66D4F6B4" w14:textId="77777777" w:rsidR="00C20562" w:rsidRPr="00EA1B3A" w:rsidRDefault="00C20562" w:rsidP="00EA1B3A">
            <w:pPr>
              <w:pStyle w:val="CoverAuthor"/>
            </w:pPr>
          </w:p>
        </w:tc>
      </w:tr>
      <w:tr w:rsidR="00550D4A" w:rsidRPr="00EA1B3A" w14:paraId="382AFD5C" w14:textId="77777777" w:rsidTr="00BB3712">
        <w:tblPrEx>
          <w:tblCellMar>
            <w:left w:w="108" w:type="dxa"/>
            <w:right w:w="108" w:type="dxa"/>
          </w:tblCellMar>
        </w:tblPrEx>
        <w:tc>
          <w:tcPr>
            <w:tcW w:w="10286" w:type="dxa"/>
            <w:shd w:val="clear" w:color="auto" w:fill="auto"/>
          </w:tcPr>
          <w:p w14:paraId="63B52A77" w14:textId="6C6BBB93" w:rsidR="00550D4A" w:rsidRPr="00EA1B3A" w:rsidRDefault="00E2647D" w:rsidP="00914701">
            <w:pPr>
              <w:pStyle w:val="CoverDate"/>
            </w:pPr>
            <w:r>
              <w:t>Date:</w:t>
            </w:r>
            <w:r w:rsidR="00D772A7">
              <w:t xml:space="preserve"> </w:t>
            </w:r>
            <w:r w:rsidR="00321427">
              <w:t>March</w:t>
            </w:r>
            <w:r w:rsidR="00D772A7">
              <w:t xml:space="preserve"> 2022</w:t>
            </w:r>
          </w:p>
        </w:tc>
      </w:tr>
    </w:tbl>
    <w:p w14:paraId="64467C00" w14:textId="77777777" w:rsidR="00B230A3" w:rsidRDefault="00B230A3" w:rsidP="00B230A3">
      <w:pPr>
        <w:spacing w:after="0"/>
      </w:pPr>
    </w:p>
    <w:p w14:paraId="7F0FF412" w14:textId="77777777" w:rsidR="008C7094" w:rsidRDefault="008C7094" w:rsidP="008C7094">
      <w:pPr>
        <w:spacing w:after="0"/>
      </w:pPr>
      <w:r w:rsidRPr="00B230A3">
        <w:br w:type="page"/>
      </w:r>
    </w:p>
    <w:tbl>
      <w:tblPr>
        <w:tblW w:w="0" w:type="auto"/>
        <w:tblLook w:val="04A0" w:firstRow="1" w:lastRow="0" w:firstColumn="1" w:lastColumn="0" w:noHBand="0" w:noVBand="1"/>
      </w:tblPr>
      <w:tblGrid>
        <w:gridCol w:w="10034"/>
      </w:tblGrid>
      <w:tr w:rsidR="008C7094" w:rsidRPr="006D116C" w14:paraId="5CAB54E8" w14:textId="77777777" w:rsidTr="3C4CC08C">
        <w:trPr>
          <w:trHeight w:hRule="exact" w:val="5500"/>
        </w:trPr>
        <w:tc>
          <w:tcPr>
            <w:tcW w:w="10286" w:type="dxa"/>
            <w:shd w:val="clear" w:color="auto" w:fill="auto"/>
          </w:tcPr>
          <w:p w14:paraId="22136235" w14:textId="77777777" w:rsidR="008C7094" w:rsidRPr="006D116C" w:rsidRDefault="008C7094" w:rsidP="00CC608E"/>
        </w:tc>
      </w:tr>
      <w:tr w:rsidR="008C7094" w:rsidRPr="006D116C" w14:paraId="46A9463A" w14:textId="77777777" w:rsidTr="3C4CC08C">
        <w:tc>
          <w:tcPr>
            <w:tcW w:w="10286" w:type="dxa"/>
            <w:shd w:val="clear" w:color="auto" w:fill="auto"/>
          </w:tcPr>
          <w:p w14:paraId="33E53753" w14:textId="77777777" w:rsidR="008C7094" w:rsidRPr="001820BD" w:rsidRDefault="00973B17" w:rsidP="00CC608E">
            <w:r>
              <w:rPr>
                <w:noProof/>
              </w:rPr>
              <w:drawing>
                <wp:inline distT="0" distB="0" distL="0" distR="0" wp14:anchorId="23952472" wp14:editId="0E5F6DD4">
                  <wp:extent cx="775970" cy="382905"/>
                  <wp:effectExtent l="0" t="0" r="0" b="0"/>
                  <wp:docPr id="14" name="Picture 12"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775970" cy="382905"/>
                          </a:xfrm>
                          <a:prstGeom prst="rect">
                            <a:avLst/>
                          </a:prstGeom>
                        </pic:spPr>
                      </pic:pic>
                    </a:graphicData>
                  </a:graphic>
                </wp:inline>
              </w:drawing>
            </w:r>
          </w:p>
          <w:p w14:paraId="7B884C55" w14:textId="77777777" w:rsidR="008C7094" w:rsidRPr="00BB3712" w:rsidRDefault="0060603A" w:rsidP="00CC608E">
            <w:pPr>
              <w:rPr>
                <w:b/>
              </w:rPr>
            </w:pPr>
            <w:r w:rsidRPr="00BB3712">
              <w:rPr>
                <w:b/>
              </w:rPr>
              <w:t>© Crown copyright 2017</w:t>
            </w:r>
          </w:p>
          <w:p w14:paraId="36E54946" w14:textId="77777777" w:rsidR="008C7094" w:rsidRPr="001820BD" w:rsidRDefault="008C7094" w:rsidP="00CC608E">
            <w:r w:rsidRPr="001820BD">
              <w:t xml:space="preserve">This publication is licensed under the terms of the Open Government Licence v3.0 except where otherwise stated. To view this licence, visit </w:t>
            </w:r>
            <w:hyperlink r:id="rId12" w:history="1">
              <w:r w:rsidRPr="001820BD">
                <w:rPr>
                  <w:rStyle w:val="Hyperlink"/>
                </w:rPr>
                <w:t>nationalarchives.gov.uk/doc/open-government-licence/version/3</w:t>
              </w:r>
            </w:hyperlink>
            <w:r w:rsidRPr="001820BD">
              <w:t xml:space="preserve"> or write to the Information Policy Team, The National Archives, Kew, London TW9 4DU, or email: </w:t>
            </w:r>
            <w:hyperlink r:id="rId13" w:history="1">
              <w:r w:rsidRPr="001820BD">
                <w:rPr>
                  <w:rStyle w:val="Hyperlink"/>
                </w:rPr>
                <w:t>psi@nationalarchives.gsi.gov.uk</w:t>
              </w:r>
            </w:hyperlink>
            <w:r w:rsidRPr="001820BD">
              <w:t>.</w:t>
            </w:r>
          </w:p>
          <w:p w14:paraId="1538C797" w14:textId="593149FA" w:rsidR="008C7094" w:rsidRDefault="008C7094" w:rsidP="00CC608E">
            <w:r w:rsidRPr="001820BD">
              <w:t>Any enquiries regarding this publication should be sent to us at</w:t>
            </w:r>
            <w:r w:rsidR="000D2FD4">
              <w:t>:</w:t>
            </w:r>
            <w:r w:rsidR="00257750">
              <w:t xml:space="preserve"> </w:t>
            </w:r>
            <w:r w:rsidR="00DD4792">
              <w:t>M</w:t>
            </w:r>
            <w:r w:rsidR="00DD4792" w:rsidRPr="00DD4792">
              <w:t xml:space="preserve">HCS Casework Performance and Support Team Mailbox </w:t>
            </w:r>
            <w:hyperlink r:id="rId14" w:history="1">
              <w:r w:rsidR="00DD4792" w:rsidRPr="000F426C">
                <w:rPr>
                  <w:rStyle w:val="Hyperlink"/>
                </w:rPr>
                <w:t>mhcscpst@justice.gov.uk</w:t>
              </w:r>
            </w:hyperlink>
          </w:p>
          <w:p w14:paraId="396E2860" w14:textId="77777777" w:rsidR="00DD4792" w:rsidRDefault="00DD4792" w:rsidP="00CC608E"/>
          <w:p w14:paraId="7EED1AFA" w14:textId="77777777" w:rsidR="00040C89" w:rsidRDefault="00040C89" w:rsidP="00CC608E"/>
          <w:p w14:paraId="3E4DB86F" w14:textId="77777777" w:rsidR="008C7094" w:rsidRPr="006D116C" w:rsidRDefault="008C7094" w:rsidP="00CC608E"/>
        </w:tc>
      </w:tr>
    </w:tbl>
    <w:p w14:paraId="66F7F8FB" w14:textId="77777777" w:rsidR="00267815" w:rsidRDefault="00267815" w:rsidP="00323E71"/>
    <w:p w14:paraId="5217B430" w14:textId="77777777" w:rsidR="001D0DE0" w:rsidRDefault="001D0DE0" w:rsidP="00323E71">
      <w:pPr>
        <w:sectPr w:rsidR="001D0DE0" w:rsidSect="001746E0">
          <w:headerReference w:type="even" r:id="rId15"/>
          <w:headerReference w:type="default" r:id="rId16"/>
          <w:footerReference w:type="even" r:id="rId17"/>
          <w:footerReference w:type="default" r:id="rId18"/>
          <w:headerReference w:type="first" r:id="rId19"/>
          <w:footerReference w:type="first" r:id="rId20"/>
          <w:pgSz w:w="11906" w:h="16838" w:code="9"/>
          <w:pgMar w:top="1531" w:right="851" w:bottom="1134" w:left="851" w:header="737" w:footer="227" w:gutter="170"/>
          <w:cols w:space="312"/>
          <w:titlePg/>
          <w:docGrid w:linePitch="360"/>
        </w:sectPr>
      </w:pPr>
    </w:p>
    <w:p w14:paraId="4C93846D" w14:textId="77777777" w:rsidR="00DD4792" w:rsidRPr="00E16FD6" w:rsidRDefault="00DD4792" w:rsidP="00DD4792">
      <w:pPr>
        <w:rPr>
          <w:u w:val="single"/>
        </w:rPr>
      </w:pPr>
      <w:r w:rsidRPr="00E16FD6">
        <w:rPr>
          <w:u w:val="single"/>
        </w:rPr>
        <w:lastRenderedPageBreak/>
        <w:t>Contents</w:t>
      </w:r>
    </w:p>
    <w:p w14:paraId="524C315F" w14:textId="77777777" w:rsidR="00DD4792" w:rsidRPr="00E16FD6" w:rsidRDefault="00DD4792" w:rsidP="00DD4792">
      <w:pPr>
        <w:pStyle w:val="NoSpacing"/>
        <w:jc w:val="both"/>
        <w:rPr>
          <w:rFonts w:ascii="Arial" w:hAnsi="Arial" w:cs="Arial"/>
          <w:u w:val="single"/>
        </w:rPr>
      </w:pPr>
    </w:p>
    <w:tbl>
      <w:tblPr>
        <w:tblStyle w:val="TableGrid"/>
        <w:tblW w:w="0" w:type="auto"/>
        <w:tblLook w:val="04A0" w:firstRow="1" w:lastRow="0" w:firstColumn="1" w:lastColumn="0" w:noHBand="0" w:noVBand="1"/>
      </w:tblPr>
      <w:tblGrid>
        <w:gridCol w:w="1129"/>
        <w:gridCol w:w="7887"/>
      </w:tblGrid>
      <w:tr w:rsidR="00DD4792" w:rsidRPr="00FE698B" w14:paraId="481BB281" w14:textId="77777777" w:rsidTr="00903C7F">
        <w:tc>
          <w:tcPr>
            <w:tcW w:w="1129" w:type="dxa"/>
          </w:tcPr>
          <w:p w14:paraId="500EF94E" w14:textId="77777777" w:rsidR="00DD4792" w:rsidRPr="00FE698B" w:rsidRDefault="00DD4792" w:rsidP="00903C7F">
            <w:pPr>
              <w:pStyle w:val="NoSpacing"/>
              <w:jc w:val="center"/>
              <w:rPr>
                <w:rFonts w:ascii="Arial" w:hAnsi="Arial" w:cs="Arial"/>
                <w:b/>
              </w:rPr>
            </w:pPr>
            <w:r w:rsidRPr="00FE698B">
              <w:rPr>
                <w:rFonts w:ascii="Arial" w:hAnsi="Arial" w:cs="Arial"/>
                <w:b/>
              </w:rPr>
              <w:t>Page</w:t>
            </w:r>
          </w:p>
        </w:tc>
        <w:tc>
          <w:tcPr>
            <w:tcW w:w="7887" w:type="dxa"/>
          </w:tcPr>
          <w:p w14:paraId="697EFF79" w14:textId="77777777" w:rsidR="00DD4792" w:rsidRPr="00FE698B" w:rsidRDefault="00DD4792" w:rsidP="00903C7F">
            <w:pPr>
              <w:pStyle w:val="NoSpacing"/>
              <w:jc w:val="both"/>
              <w:rPr>
                <w:rFonts w:ascii="Arial" w:hAnsi="Arial" w:cs="Arial"/>
                <w:b/>
              </w:rPr>
            </w:pPr>
            <w:r>
              <w:rPr>
                <w:rFonts w:ascii="Arial" w:hAnsi="Arial" w:cs="Arial"/>
                <w:b/>
              </w:rPr>
              <w:t>Sections</w:t>
            </w:r>
          </w:p>
        </w:tc>
      </w:tr>
      <w:tr w:rsidR="00DD4792" w:rsidRPr="00E16FD6" w14:paraId="28511AEA" w14:textId="77777777" w:rsidTr="00903C7F">
        <w:tc>
          <w:tcPr>
            <w:tcW w:w="1129" w:type="dxa"/>
          </w:tcPr>
          <w:p w14:paraId="699BC7C4" w14:textId="55818E17" w:rsidR="00DD4792" w:rsidRPr="00E16FD6" w:rsidRDefault="00F96024" w:rsidP="00903C7F">
            <w:pPr>
              <w:pStyle w:val="NoSpacing"/>
              <w:jc w:val="center"/>
              <w:rPr>
                <w:rFonts w:ascii="Arial" w:hAnsi="Arial" w:cs="Arial"/>
              </w:rPr>
            </w:pPr>
            <w:r>
              <w:rPr>
                <w:rFonts w:ascii="Arial" w:hAnsi="Arial" w:cs="Arial"/>
              </w:rPr>
              <w:t>1</w:t>
            </w:r>
          </w:p>
        </w:tc>
        <w:tc>
          <w:tcPr>
            <w:tcW w:w="7887" w:type="dxa"/>
          </w:tcPr>
          <w:p w14:paraId="184BA04B" w14:textId="3770E319" w:rsidR="00DD4792" w:rsidRPr="00E16FD6" w:rsidRDefault="00110C2E" w:rsidP="00417902">
            <w:pPr>
              <w:pStyle w:val="NoSpacing"/>
              <w:numPr>
                <w:ilvl w:val="0"/>
                <w:numId w:val="4"/>
              </w:numPr>
              <w:jc w:val="both"/>
              <w:rPr>
                <w:rFonts w:ascii="Arial" w:hAnsi="Arial" w:cs="Arial"/>
              </w:rPr>
            </w:pPr>
            <w:hyperlink w:anchor="Introduction" w:history="1">
              <w:r w:rsidR="00DD4792" w:rsidRPr="006E6853">
                <w:rPr>
                  <w:rStyle w:val="Hyperlink"/>
                  <w:rFonts w:ascii="Arial" w:hAnsi="Arial" w:cs="Arial"/>
                </w:rPr>
                <w:t>Introduction</w:t>
              </w:r>
            </w:hyperlink>
          </w:p>
        </w:tc>
      </w:tr>
      <w:tr w:rsidR="00DD4792" w:rsidRPr="00E16FD6" w14:paraId="29D8B2CB" w14:textId="77777777" w:rsidTr="00903C7F">
        <w:tc>
          <w:tcPr>
            <w:tcW w:w="1129" w:type="dxa"/>
          </w:tcPr>
          <w:p w14:paraId="4A82494A" w14:textId="6634EDA8" w:rsidR="00DD4792" w:rsidRPr="00E16FD6" w:rsidRDefault="00F96024" w:rsidP="00903C7F">
            <w:pPr>
              <w:pStyle w:val="NoSpacing"/>
              <w:jc w:val="center"/>
              <w:rPr>
                <w:rFonts w:ascii="Arial" w:hAnsi="Arial" w:cs="Arial"/>
              </w:rPr>
            </w:pPr>
            <w:r>
              <w:rPr>
                <w:rFonts w:ascii="Arial" w:hAnsi="Arial" w:cs="Arial"/>
              </w:rPr>
              <w:t>1</w:t>
            </w:r>
          </w:p>
        </w:tc>
        <w:tc>
          <w:tcPr>
            <w:tcW w:w="7887" w:type="dxa"/>
          </w:tcPr>
          <w:p w14:paraId="03428443" w14:textId="7D2A6CA8" w:rsidR="00DD4792" w:rsidRPr="00E16FD6" w:rsidRDefault="00110C2E" w:rsidP="00417902">
            <w:pPr>
              <w:pStyle w:val="NoSpacing"/>
              <w:numPr>
                <w:ilvl w:val="0"/>
                <w:numId w:val="4"/>
              </w:numPr>
              <w:jc w:val="both"/>
              <w:rPr>
                <w:rFonts w:ascii="Arial" w:hAnsi="Arial" w:cs="Arial"/>
              </w:rPr>
            </w:pPr>
            <w:hyperlink w:anchor="Legal" w:history="1">
              <w:r w:rsidR="00DD4792" w:rsidRPr="006E6853">
                <w:rPr>
                  <w:rStyle w:val="Hyperlink"/>
                  <w:rFonts w:ascii="Arial" w:hAnsi="Arial" w:cs="Arial"/>
                </w:rPr>
                <w:t>Legal Provisions</w:t>
              </w:r>
            </w:hyperlink>
          </w:p>
        </w:tc>
      </w:tr>
      <w:tr w:rsidR="00DD4792" w:rsidRPr="00E16FD6" w14:paraId="7BE987B0" w14:textId="77777777" w:rsidTr="00903C7F">
        <w:tc>
          <w:tcPr>
            <w:tcW w:w="1129" w:type="dxa"/>
          </w:tcPr>
          <w:p w14:paraId="794FCEEA" w14:textId="178E360D" w:rsidR="00DD4792" w:rsidRPr="00E16FD6" w:rsidRDefault="00F96024" w:rsidP="00903C7F">
            <w:pPr>
              <w:pStyle w:val="NoSpacing"/>
              <w:jc w:val="center"/>
              <w:rPr>
                <w:rFonts w:ascii="Arial" w:hAnsi="Arial" w:cs="Arial"/>
              </w:rPr>
            </w:pPr>
            <w:r>
              <w:rPr>
                <w:rFonts w:ascii="Arial" w:hAnsi="Arial" w:cs="Arial"/>
              </w:rPr>
              <w:t>1</w:t>
            </w:r>
          </w:p>
        </w:tc>
        <w:tc>
          <w:tcPr>
            <w:tcW w:w="7887" w:type="dxa"/>
          </w:tcPr>
          <w:p w14:paraId="05C1EE8F" w14:textId="646A7F2C" w:rsidR="00DD4792" w:rsidRPr="00E16FD6" w:rsidRDefault="00110C2E" w:rsidP="00417902">
            <w:pPr>
              <w:pStyle w:val="NoSpacing"/>
              <w:numPr>
                <w:ilvl w:val="0"/>
                <w:numId w:val="4"/>
              </w:numPr>
              <w:jc w:val="both"/>
              <w:rPr>
                <w:rFonts w:ascii="Arial" w:hAnsi="Arial" w:cs="Arial"/>
              </w:rPr>
            </w:pPr>
            <w:hyperlink w:anchor="Types" w:history="1">
              <w:r w:rsidR="00DD4792" w:rsidRPr="006E6853">
                <w:rPr>
                  <w:rStyle w:val="Hyperlink"/>
                  <w:rFonts w:ascii="Arial" w:hAnsi="Arial" w:cs="Arial"/>
                </w:rPr>
                <w:t>Types of Restricted Patients</w:t>
              </w:r>
            </w:hyperlink>
          </w:p>
        </w:tc>
      </w:tr>
      <w:tr w:rsidR="00DD4792" w:rsidRPr="00E16FD6" w14:paraId="76478E25" w14:textId="77777777" w:rsidTr="00903C7F">
        <w:tc>
          <w:tcPr>
            <w:tcW w:w="1129" w:type="dxa"/>
          </w:tcPr>
          <w:p w14:paraId="49075D6D" w14:textId="45BC5967" w:rsidR="00DD4792" w:rsidRPr="00E16FD6" w:rsidRDefault="00F96024" w:rsidP="00903C7F">
            <w:pPr>
              <w:pStyle w:val="NoSpacing"/>
              <w:jc w:val="center"/>
              <w:rPr>
                <w:rFonts w:ascii="Arial" w:hAnsi="Arial" w:cs="Arial"/>
              </w:rPr>
            </w:pPr>
            <w:r>
              <w:rPr>
                <w:rFonts w:ascii="Arial" w:hAnsi="Arial" w:cs="Arial"/>
              </w:rPr>
              <w:t>1</w:t>
            </w:r>
          </w:p>
        </w:tc>
        <w:tc>
          <w:tcPr>
            <w:tcW w:w="7887" w:type="dxa"/>
          </w:tcPr>
          <w:p w14:paraId="3A980D6B" w14:textId="5E6F0BAA" w:rsidR="00DD4792" w:rsidRPr="00E16FD6" w:rsidRDefault="00110C2E" w:rsidP="00417902">
            <w:pPr>
              <w:pStyle w:val="NoSpacing"/>
              <w:numPr>
                <w:ilvl w:val="0"/>
                <w:numId w:val="4"/>
              </w:numPr>
              <w:jc w:val="both"/>
              <w:rPr>
                <w:rFonts w:ascii="Arial" w:hAnsi="Arial" w:cs="Arial"/>
              </w:rPr>
            </w:pPr>
            <w:hyperlink w:anchor="Specific" w:history="1">
              <w:r w:rsidR="00DD4792" w:rsidRPr="006E6853">
                <w:rPr>
                  <w:rStyle w:val="Hyperlink"/>
                  <w:rFonts w:ascii="Arial" w:hAnsi="Arial" w:cs="Arial"/>
                </w:rPr>
                <w:t>Specific Categories of Patients</w:t>
              </w:r>
            </w:hyperlink>
          </w:p>
        </w:tc>
      </w:tr>
      <w:tr w:rsidR="00DD4792" w:rsidRPr="00E16FD6" w14:paraId="2149A154" w14:textId="77777777" w:rsidTr="00903C7F">
        <w:tc>
          <w:tcPr>
            <w:tcW w:w="1129" w:type="dxa"/>
          </w:tcPr>
          <w:p w14:paraId="32251E33" w14:textId="65BEA599" w:rsidR="00DD4792" w:rsidRPr="00E16FD6" w:rsidRDefault="00F96024" w:rsidP="00903C7F">
            <w:pPr>
              <w:pStyle w:val="NoSpacing"/>
              <w:jc w:val="center"/>
              <w:rPr>
                <w:rFonts w:ascii="Arial" w:hAnsi="Arial" w:cs="Arial"/>
              </w:rPr>
            </w:pPr>
            <w:r>
              <w:rPr>
                <w:rFonts w:ascii="Arial" w:hAnsi="Arial" w:cs="Arial"/>
              </w:rPr>
              <w:t>2</w:t>
            </w:r>
          </w:p>
        </w:tc>
        <w:tc>
          <w:tcPr>
            <w:tcW w:w="7887" w:type="dxa"/>
          </w:tcPr>
          <w:p w14:paraId="55044EA3" w14:textId="47CB5C38" w:rsidR="00DD4792" w:rsidRPr="00E16FD6" w:rsidRDefault="00110C2E" w:rsidP="00417902">
            <w:pPr>
              <w:pStyle w:val="NoSpacing"/>
              <w:numPr>
                <w:ilvl w:val="0"/>
                <w:numId w:val="4"/>
              </w:numPr>
              <w:jc w:val="both"/>
              <w:rPr>
                <w:rFonts w:ascii="Arial" w:hAnsi="Arial" w:cs="Arial"/>
              </w:rPr>
            </w:pPr>
            <w:hyperlink w:anchor="Applications" w:history="1">
              <w:r w:rsidR="00DD4792" w:rsidRPr="00BB48D0">
                <w:rPr>
                  <w:rStyle w:val="Hyperlink"/>
                  <w:rFonts w:ascii="Arial" w:hAnsi="Arial" w:cs="Arial"/>
                </w:rPr>
                <w:t xml:space="preserve">Applications for </w:t>
              </w:r>
              <w:r w:rsidR="00E2647D" w:rsidRPr="00BB48D0">
                <w:rPr>
                  <w:rStyle w:val="Hyperlink"/>
                  <w:rFonts w:ascii="Arial" w:hAnsi="Arial" w:cs="Arial"/>
                </w:rPr>
                <w:t>Discharge</w:t>
              </w:r>
            </w:hyperlink>
          </w:p>
        </w:tc>
      </w:tr>
      <w:tr w:rsidR="00DD4792" w:rsidRPr="00E16FD6" w14:paraId="55D8186E" w14:textId="77777777" w:rsidTr="00903C7F">
        <w:tc>
          <w:tcPr>
            <w:tcW w:w="1129" w:type="dxa"/>
          </w:tcPr>
          <w:p w14:paraId="20BECC63" w14:textId="222A3CB5" w:rsidR="00DD4792" w:rsidRPr="00E16FD6" w:rsidRDefault="00644598" w:rsidP="00903C7F">
            <w:pPr>
              <w:pStyle w:val="NoSpacing"/>
              <w:jc w:val="center"/>
              <w:rPr>
                <w:rFonts w:ascii="Arial" w:hAnsi="Arial" w:cs="Arial"/>
              </w:rPr>
            </w:pPr>
            <w:r>
              <w:rPr>
                <w:rFonts w:ascii="Arial" w:hAnsi="Arial" w:cs="Arial"/>
              </w:rPr>
              <w:t>3</w:t>
            </w:r>
          </w:p>
        </w:tc>
        <w:tc>
          <w:tcPr>
            <w:tcW w:w="7887" w:type="dxa"/>
          </w:tcPr>
          <w:p w14:paraId="52B3C6A2" w14:textId="43BBD7E6" w:rsidR="00DD4792" w:rsidRPr="00E16FD6" w:rsidRDefault="00110C2E" w:rsidP="00417902">
            <w:pPr>
              <w:pStyle w:val="NoSpacing"/>
              <w:numPr>
                <w:ilvl w:val="0"/>
                <w:numId w:val="4"/>
              </w:numPr>
              <w:jc w:val="both"/>
              <w:rPr>
                <w:rFonts w:ascii="Arial" w:hAnsi="Arial" w:cs="Arial"/>
              </w:rPr>
            </w:pPr>
            <w:hyperlink w:anchor="Types2" w:history="1">
              <w:r w:rsidR="00DD4792" w:rsidRPr="00BB48D0">
                <w:rPr>
                  <w:rStyle w:val="Hyperlink"/>
                  <w:rFonts w:ascii="Arial" w:hAnsi="Arial" w:cs="Arial"/>
                </w:rPr>
                <w:t xml:space="preserve">Types of </w:t>
              </w:r>
              <w:r w:rsidR="00E2647D" w:rsidRPr="00BB48D0">
                <w:rPr>
                  <w:rStyle w:val="Hyperlink"/>
                  <w:rFonts w:ascii="Arial" w:hAnsi="Arial" w:cs="Arial"/>
                </w:rPr>
                <w:t>Discharge</w:t>
              </w:r>
            </w:hyperlink>
          </w:p>
        </w:tc>
      </w:tr>
      <w:tr w:rsidR="00DD4792" w:rsidRPr="00E16FD6" w14:paraId="6383876A" w14:textId="77777777" w:rsidTr="00903C7F">
        <w:tc>
          <w:tcPr>
            <w:tcW w:w="1129" w:type="dxa"/>
          </w:tcPr>
          <w:p w14:paraId="5E2E1D29" w14:textId="068C815C" w:rsidR="00DD4792" w:rsidRPr="00E16FD6" w:rsidRDefault="00432F80" w:rsidP="00903C7F">
            <w:pPr>
              <w:pStyle w:val="NoSpacing"/>
              <w:jc w:val="center"/>
              <w:rPr>
                <w:rFonts w:ascii="Arial" w:hAnsi="Arial" w:cs="Arial"/>
              </w:rPr>
            </w:pPr>
            <w:r>
              <w:rPr>
                <w:rFonts w:ascii="Arial" w:hAnsi="Arial" w:cs="Arial"/>
              </w:rPr>
              <w:t>6</w:t>
            </w:r>
          </w:p>
        </w:tc>
        <w:tc>
          <w:tcPr>
            <w:tcW w:w="7887" w:type="dxa"/>
          </w:tcPr>
          <w:p w14:paraId="2A2188A2" w14:textId="3A726144" w:rsidR="00DD4792" w:rsidRPr="00E16FD6" w:rsidRDefault="00110C2E" w:rsidP="00417902">
            <w:pPr>
              <w:pStyle w:val="NoSpacing"/>
              <w:numPr>
                <w:ilvl w:val="0"/>
                <w:numId w:val="4"/>
              </w:numPr>
              <w:jc w:val="both"/>
              <w:rPr>
                <w:rFonts w:ascii="Arial" w:hAnsi="Arial" w:cs="Arial"/>
              </w:rPr>
            </w:pPr>
            <w:hyperlink w:anchor="Lifting" w:history="1">
              <w:r w:rsidR="00644598" w:rsidRPr="00FF5668">
                <w:rPr>
                  <w:rStyle w:val="Hyperlink"/>
                  <w:rFonts w:ascii="Arial" w:hAnsi="Arial" w:cs="Arial"/>
                </w:rPr>
                <w:t>Lifting the Restriction Order</w:t>
              </w:r>
            </w:hyperlink>
          </w:p>
        </w:tc>
      </w:tr>
      <w:tr w:rsidR="00644598" w:rsidRPr="00E16FD6" w14:paraId="60599ACC" w14:textId="77777777" w:rsidTr="00903C7F">
        <w:tc>
          <w:tcPr>
            <w:tcW w:w="1129" w:type="dxa"/>
          </w:tcPr>
          <w:p w14:paraId="7FA1E956" w14:textId="574B50AE" w:rsidR="00644598" w:rsidRPr="00E16FD6" w:rsidRDefault="00432F80" w:rsidP="00903C7F">
            <w:pPr>
              <w:pStyle w:val="NoSpacing"/>
              <w:jc w:val="center"/>
              <w:rPr>
                <w:rFonts w:ascii="Arial" w:hAnsi="Arial" w:cs="Arial"/>
              </w:rPr>
            </w:pPr>
            <w:r>
              <w:rPr>
                <w:rFonts w:ascii="Arial" w:hAnsi="Arial" w:cs="Arial"/>
              </w:rPr>
              <w:t>6</w:t>
            </w:r>
          </w:p>
        </w:tc>
        <w:tc>
          <w:tcPr>
            <w:tcW w:w="7887" w:type="dxa"/>
          </w:tcPr>
          <w:p w14:paraId="018181B5" w14:textId="4D843097" w:rsidR="00644598" w:rsidRDefault="00110C2E" w:rsidP="00417902">
            <w:pPr>
              <w:pStyle w:val="NoSpacing"/>
              <w:numPr>
                <w:ilvl w:val="0"/>
                <w:numId w:val="4"/>
              </w:numPr>
              <w:jc w:val="both"/>
              <w:rPr>
                <w:rFonts w:ascii="Arial" w:hAnsi="Arial" w:cs="Arial"/>
              </w:rPr>
            </w:pPr>
            <w:hyperlink w:anchor="Patient" w:history="1">
              <w:r w:rsidR="00644598" w:rsidRPr="00D50A2B">
                <w:rPr>
                  <w:rStyle w:val="Hyperlink"/>
                  <w:rFonts w:ascii="Arial" w:hAnsi="Arial" w:cs="Arial"/>
                </w:rPr>
                <w:t>Patient Management</w:t>
              </w:r>
            </w:hyperlink>
          </w:p>
        </w:tc>
      </w:tr>
      <w:tr w:rsidR="00DD4792" w:rsidRPr="00E16FD6" w14:paraId="485ADB9C" w14:textId="77777777" w:rsidTr="00903C7F">
        <w:tc>
          <w:tcPr>
            <w:tcW w:w="1129" w:type="dxa"/>
          </w:tcPr>
          <w:p w14:paraId="47EEE22C" w14:textId="7F630E21" w:rsidR="00DD4792" w:rsidRPr="00E16FD6" w:rsidRDefault="00432F80" w:rsidP="00903C7F">
            <w:pPr>
              <w:pStyle w:val="NoSpacing"/>
              <w:jc w:val="center"/>
              <w:rPr>
                <w:rFonts w:ascii="Arial" w:hAnsi="Arial" w:cs="Arial"/>
              </w:rPr>
            </w:pPr>
            <w:r>
              <w:rPr>
                <w:rFonts w:ascii="Arial" w:hAnsi="Arial" w:cs="Arial"/>
              </w:rPr>
              <w:t>6</w:t>
            </w:r>
          </w:p>
        </w:tc>
        <w:tc>
          <w:tcPr>
            <w:tcW w:w="7887" w:type="dxa"/>
          </w:tcPr>
          <w:p w14:paraId="326784B5" w14:textId="660FC70B" w:rsidR="00DD4792" w:rsidRPr="00E16FD6" w:rsidRDefault="00110C2E" w:rsidP="00417902">
            <w:pPr>
              <w:pStyle w:val="NoSpacing"/>
              <w:numPr>
                <w:ilvl w:val="0"/>
                <w:numId w:val="4"/>
              </w:numPr>
              <w:jc w:val="both"/>
              <w:rPr>
                <w:rFonts w:ascii="Arial" w:hAnsi="Arial" w:cs="Arial"/>
              </w:rPr>
            </w:pPr>
            <w:hyperlink w:anchor="Victim" w:history="1">
              <w:r w:rsidR="00DD4792" w:rsidRPr="00D50A2B">
                <w:rPr>
                  <w:rStyle w:val="Hyperlink"/>
                  <w:rFonts w:ascii="Arial" w:hAnsi="Arial" w:cs="Arial"/>
                </w:rPr>
                <w:t>Victim Involvement</w:t>
              </w:r>
            </w:hyperlink>
          </w:p>
        </w:tc>
      </w:tr>
      <w:tr w:rsidR="00DD4792" w:rsidRPr="00E16FD6" w14:paraId="264F6EE8" w14:textId="77777777" w:rsidTr="00903C7F">
        <w:tc>
          <w:tcPr>
            <w:tcW w:w="1129" w:type="dxa"/>
          </w:tcPr>
          <w:p w14:paraId="60A7D0ED" w14:textId="36BAF9B3" w:rsidR="00DD4792" w:rsidRPr="00E16FD6" w:rsidRDefault="00644598" w:rsidP="00903C7F">
            <w:pPr>
              <w:pStyle w:val="NoSpacing"/>
              <w:jc w:val="center"/>
              <w:rPr>
                <w:rFonts w:ascii="Arial" w:hAnsi="Arial" w:cs="Arial"/>
              </w:rPr>
            </w:pPr>
            <w:r>
              <w:rPr>
                <w:rFonts w:ascii="Arial" w:hAnsi="Arial" w:cs="Arial"/>
              </w:rPr>
              <w:t>6</w:t>
            </w:r>
          </w:p>
        </w:tc>
        <w:tc>
          <w:tcPr>
            <w:tcW w:w="7887" w:type="dxa"/>
          </w:tcPr>
          <w:p w14:paraId="21070B76" w14:textId="55172F83" w:rsidR="00DD4792" w:rsidRPr="00E16FD6" w:rsidRDefault="00110C2E" w:rsidP="00417902">
            <w:pPr>
              <w:pStyle w:val="NoSpacing"/>
              <w:numPr>
                <w:ilvl w:val="0"/>
                <w:numId w:val="4"/>
              </w:numPr>
              <w:jc w:val="both"/>
              <w:rPr>
                <w:rFonts w:ascii="Arial" w:hAnsi="Arial" w:cs="Arial"/>
              </w:rPr>
            </w:pPr>
            <w:hyperlink w:anchor="MAPPA" w:history="1">
              <w:r w:rsidR="00DD4792" w:rsidRPr="00D50A2B">
                <w:rPr>
                  <w:rStyle w:val="Hyperlink"/>
                  <w:rFonts w:ascii="Arial" w:hAnsi="Arial" w:cs="Arial"/>
                </w:rPr>
                <w:t>Multi Agency Public Protection arrangements (MAPPA)</w:t>
              </w:r>
            </w:hyperlink>
          </w:p>
        </w:tc>
      </w:tr>
      <w:tr w:rsidR="00DD4792" w:rsidRPr="00E16FD6" w14:paraId="4A439705" w14:textId="77777777" w:rsidTr="00903C7F">
        <w:tc>
          <w:tcPr>
            <w:tcW w:w="1129" w:type="dxa"/>
          </w:tcPr>
          <w:p w14:paraId="505E873B" w14:textId="3E0A09E4" w:rsidR="00DD4792" w:rsidRPr="00E16FD6" w:rsidRDefault="00644598" w:rsidP="00903C7F">
            <w:pPr>
              <w:pStyle w:val="NoSpacing"/>
              <w:jc w:val="center"/>
              <w:rPr>
                <w:rFonts w:ascii="Arial" w:hAnsi="Arial" w:cs="Arial"/>
              </w:rPr>
            </w:pPr>
            <w:r>
              <w:rPr>
                <w:rFonts w:ascii="Arial" w:hAnsi="Arial" w:cs="Arial"/>
              </w:rPr>
              <w:t>8</w:t>
            </w:r>
          </w:p>
        </w:tc>
        <w:tc>
          <w:tcPr>
            <w:tcW w:w="7887" w:type="dxa"/>
          </w:tcPr>
          <w:p w14:paraId="5576D12D" w14:textId="301BEEDB" w:rsidR="00DD4792" w:rsidRPr="00E16FD6" w:rsidRDefault="00DD4792" w:rsidP="00DD4792">
            <w:pPr>
              <w:pStyle w:val="NoSpacing"/>
              <w:jc w:val="both"/>
              <w:rPr>
                <w:rFonts w:ascii="Arial" w:hAnsi="Arial" w:cs="Arial"/>
              </w:rPr>
            </w:pPr>
            <w:r>
              <w:rPr>
                <w:rFonts w:ascii="Arial" w:hAnsi="Arial" w:cs="Arial"/>
              </w:rPr>
              <w:t xml:space="preserve">      </w:t>
            </w:r>
            <w:hyperlink w:anchor="Glossary" w:history="1">
              <w:r w:rsidRPr="00D50A2B">
                <w:rPr>
                  <w:rStyle w:val="Hyperlink"/>
                  <w:rFonts w:ascii="Arial" w:hAnsi="Arial" w:cs="Arial"/>
                </w:rPr>
                <w:t>Annex A – Glossary of Terms</w:t>
              </w:r>
            </w:hyperlink>
          </w:p>
        </w:tc>
      </w:tr>
      <w:tr w:rsidR="00B5017F" w:rsidRPr="00B5017F" w14:paraId="143206B6" w14:textId="77777777" w:rsidTr="00903C7F">
        <w:tc>
          <w:tcPr>
            <w:tcW w:w="1129" w:type="dxa"/>
          </w:tcPr>
          <w:p w14:paraId="77CCE6BF" w14:textId="786B08C7" w:rsidR="00B5017F" w:rsidRPr="00B5017F" w:rsidRDefault="00B5017F" w:rsidP="00903C7F">
            <w:pPr>
              <w:pStyle w:val="NoSpacing"/>
              <w:jc w:val="center"/>
              <w:rPr>
                <w:rFonts w:ascii="Arial" w:hAnsi="Arial" w:cs="Arial"/>
              </w:rPr>
            </w:pPr>
            <w:r>
              <w:rPr>
                <w:rFonts w:ascii="Arial" w:hAnsi="Arial" w:cs="Arial"/>
              </w:rPr>
              <w:t>10</w:t>
            </w:r>
          </w:p>
        </w:tc>
        <w:tc>
          <w:tcPr>
            <w:tcW w:w="7887" w:type="dxa"/>
          </w:tcPr>
          <w:p w14:paraId="0ABD1DEF" w14:textId="651B2431" w:rsidR="00B5017F" w:rsidRPr="00B5017F" w:rsidRDefault="00B5017F" w:rsidP="00DD4792">
            <w:pPr>
              <w:pStyle w:val="NoSpacing"/>
              <w:jc w:val="both"/>
              <w:rPr>
                <w:rFonts w:ascii="Arial" w:hAnsi="Arial" w:cs="Arial"/>
              </w:rPr>
            </w:pPr>
            <w:r w:rsidRPr="00B5017F">
              <w:rPr>
                <w:rFonts w:ascii="Arial" w:hAnsi="Arial" w:cs="Arial"/>
              </w:rPr>
              <w:t xml:space="preserve">      </w:t>
            </w:r>
            <w:hyperlink w:anchor="Conditions" w:history="1">
              <w:r w:rsidRPr="00787D57">
                <w:rPr>
                  <w:rStyle w:val="Hyperlink"/>
                  <w:rFonts w:ascii="Arial" w:hAnsi="Arial" w:cs="Arial"/>
                </w:rPr>
                <w:t>Annex B – Standard Conditions of Discharge</w:t>
              </w:r>
            </w:hyperlink>
          </w:p>
        </w:tc>
      </w:tr>
    </w:tbl>
    <w:p w14:paraId="1E057555" w14:textId="77777777" w:rsidR="00DD4792" w:rsidRPr="00D279A5" w:rsidRDefault="00DD4792" w:rsidP="00DD4792">
      <w:pPr>
        <w:pStyle w:val="NoSpacing"/>
        <w:jc w:val="both"/>
        <w:rPr>
          <w:rFonts w:ascii="Arial" w:hAnsi="Arial" w:cs="Arial"/>
          <w:u w:val="single"/>
        </w:rPr>
      </w:pPr>
    </w:p>
    <w:p w14:paraId="5273018A" w14:textId="000DD1BB" w:rsidR="00DD4792" w:rsidRPr="004F1077" w:rsidRDefault="00DD4792" w:rsidP="005F0B90">
      <w:pPr>
        <w:pStyle w:val="NoSpacing"/>
        <w:numPr>
          <w:ilvl w:val="0"/>
          <w:numId w:val="16"/>
        </w:numPr>
        <w:jc w:val="both"/>
        <w:rPr>
          <w:rFonts w:ascii="Arial" w:hAnsi="Arial" w:cs="Arial"/>
          <w:u w:val="single"/>
        </w:rPr>
      </w:pPr>
      <w:bookmarkStart w:id="0" w:name="Introduction"/>
      <w:r w:rsidRPr="004F1077">
        <w:rPr>
          <w:rFonts w:ascii="Arial" w:hAnsi="Arial" w:cs="Arial"/>
          <w:u w:val="single"/>
        </w:rPr>
        <w:t>Introduction</w:t>
      </w:r>
    </w:p>
    <w:bookmarkEnd w:id="0"/>
    <w:p w14:paraId="210EE5CC" w14:textId="77777777" w:rsidR="00DD4792" w:rsidRPr="00763060" w:rsidRDefault="00DD4792" w:rsidP="00763060">
      <w:pPr>
        <w:pStyle w:val="NoSpacing"/>
        <w:jc w:val="both"/>
        <w:rPr>
          <w:rFonts w:ascii="Arial" w:hAnsi="Arial" w:cs="Arial"/>
        </w:rPr>
      </w:pPr>
    </w:p>
    <w:p w14:paraId="539294B5" w14:textId="5EDF74C8" w:rsidR="00DD4792" w:rsidRPr="00763060" w:rsidRDefault="005F0B90" w:rsidP="00763060">
      <w:pPr>
        <w:pStyle w:val="NoSpacing"/>
        <w:jc w:val="both"/>
        <w:rPr>
          <w:rFonts w:ascii="Arial" w:hAnsi="Arial" w:cs="Arial"/>
          <w:spacing w:val="-3"/>
          <w:lang w:eastAsia="en-GB"/>
        </w:rPr>
      </w:pPr>
      <w:r>
        <w:rPr>
          <w:rFonts w:ascii="Arial" w:hAnsi="Arial" w:cs="Arial"/>
        </w:rPr>
        <w:t>1.1</w:t>
      </w:r>
      <w:r w:rsidR="002F16B9">
        <w:rPr>
          <w:rFonts w:ascii="Arial" w:hAnsi="Arial" w:cs="Arial"/>
        </w:rPr>
        <w:tab/>
      </w:r>
      <w:r w:rsidR="00DD4792" w:rsidRPr="00763060">
        <w:rPr>
          <w:rFonts w:ascii="Arial" w:hAnsi="Arial" w:cs="Arial"/>
        </w:rPr>
        <w:t xml:space="preserve">The Secretary of State for Justice (SoS) recognises that </w:t>
      </w:r>
      <w:r w:rsidR="00E2647D" w:rsidRPr="00763060">
        <w:rPr>
          <w:rFonts w:ascii="Arial" w:hAnsi="Arial" w:cs="Arial"/>
        </w:rPr>
        <w:t xml:space="preserve">the aim of all treatment of restricted patients is to help prepare them for their eventual discharge into the community and to help manage the risks they may continue to present to the public whilst there. </w:t>
      </w:r>
      <w:r w:rsidR="00DD4792" w:rsidRPr="00763060">
        <w:rPr>
          <w:rFonts w:ascii="Arial" w:hAnsi="Arial" w:cs="Arial"/>
        </w:rPr>
        <w:t xml:space="preserve">The SoS recognises </w:t>
      </w:r>
      <w:r w:rsidR="00AA5241">
        <w:rPr>
          <w:rFonts w:ascii="Arial" w:hAnsi="Arial" w:cs="Arial"/>
        </w:rPr>
        <w:t xml:space="preserve">that his ultimate obligation is </w:t>
      </w:r>
      <w:r w:rsidR="00DD4792" w:rsidRPr="00763060">
        <w:rPr>
          <w:rFonts w:ascii="Arial" w:hAnsi="Arial" w:cs="Arial"/>
        </w:rPr>
        <w:t xml:space="preserve"> to </w:t>
      </w:r>
      <w:r w:rsidR="00AA5241">
        <w:rPr>
          <w:rFonts w:ascii="Arial" w:hAnsi="Arial" w:cs="Arial"/>
        </w:rPr>
        <w:t xml:space="preserve">exercise his statutory powers so as to protect the public, whilst being mindful of </w:t>
      </w:r>
      <w:r w:rsidR="00DD4792" w:rsidRPr="00763060">
        <w:rPr>
          <w:rFonts w:ascii="Arial" w:hAnsi="Arial" w:cs="Arial"/>
        </w:rPr>
        <w:t xml:space="preserve"> the rights of patients to receive treatment</w:t>
      </w:r>
      <w:r w:rsidR="00E2647D" w:rsidRPr="00763060">
        <w:rPr>
          <w:rFonts w:ascii="Arial" w:hAnsi="Arial" w:cs="Arial"/>
        </w:rPr>
        <w:t xml:space="preserve"> in the least restrictive setting </w:t>
      </w:r>
      <w:r w:rsidR="00AA5241">
        <w:rPr>
          <w:rFonts w:ascii="Arial" w:hAnsi="Arial" w:cs="Arial"/>
        </w:rPr>
        <w:t xml:space="preserve">commensurate with their needs and risks. </w:t>
      </w:r>
      <w:r w:rsidR="00DD4792" w:rsidRPr="00763060">
        <w:rPr>
          <w:rFonts w:ascii="Arial" w:hAnsi="Arial" w:cs="Arial"/>
        </w:rPr>
        <w:t xml:space="preserve">. This guidance sets out the SoS’s approach to applications for </w:t>
      </w:r>
      <w:r w:rsidR="00E2647D" w:rsidRPr="00763060">
        <w:rPr>
          <w:rFonts w:ascii="Arial" w:hAnsi="Arial" w:cs="Arial"/>
        </w:rPr>
        <w:t>discharge</w:t>
      </w:r>
      <w:r w:rsidR="00DD4792" w:rsidRPr="00763060">
        <w:rPr>
          <w:rFonts w:ascii="Arial" w:hAnsi="Arial" w:cs="Arial"/>
        </w:rPr>
        <w:t xml:space="preserve"> under section </w:t>
      </w:r>
      <w:r w:rsidR="00307A85" w:rsidRPr="00763060">
        <w:rPr>
          <w:rFonts w:ascii="Arial" w:hAnsi="Arial" w:cs="Arial"/>
        </w:rPr>
        <w:t>42(</w:t>
      </w:r>
      <w:r w:rsidR="003626D1">
        <w:rPr>
          <w:rFonts w:ascii="Arial" w:hAnsi="Arial" w:cs="Arial"/>
        </w:rPr>
        <w:t>2</w:t>
      </w:r>
      <w:r w:rsidR="00307A85" w:rsidRPr="00763060">
        <w:rPr>
          <w:rFonts w:ascii="Arial" w:hAnsi="Arial" w:cs="Arial"/>
        </w:rPr>
        <w:t>)</w:t>
      </w:r>
      <w:r w:rsidR="00DD4792" w:rsidRPr="00763060">
        <w:rPr>
          <w:rFonts w:ascii="Arial" w:hAnsi="Arial" w:cs="Arial"/>
        </w:rPr>
        <w:t xml:space="preserve"> of the </w:t>
      </w:r>
      <w:r w:rsidR="00DD4792" w:rsidRPr="00763060">
        <w:rPr>
          <w:rFonts w:ascii="Arial" w:hAnsi="Arial" w:cs="Arial"/>
          <w:spacing w:val="-3"/>
          <w:lang w:eastAsia="en-GB"/>
        </w:rPr>
        <w:t>Mental Health Act 1983 (MHA).</w:t>
      </w:r>
    </w:p>
    <w:p w14:paraId="395FB62D" w14:textId="77777777" w:rsidR="00DD4792" w:rsidRPr="00763060" w:rsidRDefault="00DD4792" w:rsidP="00763060">
      <w:pPr>
        <w:pStyle w:val="NoSpacing"/>
        <w:jc w:val="both"/>
        <w:rPr>
          <w:rFonts w:ascii="Arial" w:hAnsi="Arial" w:cs="Arial"/>
          <w:spacing w:val="-3"/>
          <w:lang w:eastAsia="en-GB"/>
        </w:rPr>
      </w:pPr>
    </w:p>
    <w:p w14:paraId="27DCAEB2" w14:textId="5A9DB97F" w:rsidR="00DD4792" w:rsidRPr="00DB6C42" w:rsidRDefault="002F16B9" w:rsidP="00763060">
      <w:pPr>
        <w:pStyle w:val="NoSpacing"/>
        <w:jc w:val="both"/>
        <w:rPr>
          <w:rFonts w:ascii="Arial" w:hAnsi="Arial" w:cs="Arial"/>
          <w:lang w:eastAsia="en-GB"/>
        </w:rPr>
      </w:pPr>
      <w:r>
        <w:rPr>
          <w:rFonts w:ascii="Arial" w:hAnsi="Arial" w:cs="Arial"/>
          <w:lang w:eastAsia="en-GB"/>
        </w:rPr>
        <w:t>1.2</w:t>
      </w:r>
      <w:r>
        <w:rPr>
          <w:rFonts w:ascii="Arial" w:hAnsi="Arial" w:cs="Arial"/>
          <w:lang w:eastAsia="en-GB"/>
        </w:rPr>
        <w:tab/>
      </w:r>
      <w:r w:rsidR="002A218C">
        <w:rPr>
          <w:rFonts w:ascii="Arial" w:hAnsi="Arial" w:cs="Arial"/>
          <w:lang w:eastAsia="en-GB"/>
        </w:rPr>
        <w:t xml:space="preserve">The </w:t>
      </w:r>
      <w:r w:rsidR="00DD4792" w:rsidRPr="00763060">
        <w:rPr>
          <w:rFonts w:ascii="Arial" w:hAnsi="Arial" w:cs="Arial"/>
          <w:lang w:eastAsia="en-GB"/>
        </w:rPr>
        <w:t>Mental Health Casework Section (MHCS) performance management framework</w:t>
      </w:r>
      <w:r w:rsidR="002A218C">
        <w:rPr>
          <w:rFonts w:ascii="Arial" w:hAnsi="Arial" w:cs="Arial"/>
          <w:lang w:eastAsia="en-GB"/>
        </w:rPr>
        <w:t xml:space="preserve"> sets out </w:t>
      </w:r>
      <w:r w:rsidR="00DD4792" w:rsidRPr="00763060">
        <w:rPr>
          <w:rFonts w:ascii="Arial" w:hAnsi="Arial" w:cs="Arial"/>
          <w:lang w:eastAsia="en-GB"/>
        </w:rPr>
        <w:t xml:space="preserve">target timescales for decisions (see: </w:t>
      </w:r>
      <w:hyperlink r:id="rId21" w:history="1">
        <w:r w:rsidR="00DD4792" w:rsidRPr="006203FA">
          <w:rPr>
            <w:rStyle w:val="Hyperlink"/>
            <w:rFonts w:ascii="Arial" w:hAnsi="Arial" w:cs="Arial"/>
            <w:color w:val="7030A0"/>
            <w:lang w:eastAsia="en-GB"/>
          </w:rPr>
          <w:t>Performance Management Framework</w:t>
        </w:r>
      </w:hyperlink>
      <w:r w:rsidR="00DD4792" w:rsidRPr="00763060">
        <w:rPr>
          <w:rFonts w:ascii="Arial" w:hAnsi="Arial" w:cs="Arial"/>
          <w:lang w:eastAsia="en-GB"/>
        </w:rPr>
        <w:t>).</w:t>
      </w:r>
      <w:r w:rsidR="00153AB7">
        <w:rPr>
          <w:rFonts w:ascii="Arial" w:hAnsi="Arial" w:cs="Arial"/>
          <w:lang w:eastAsia="en-GB"/>
        </w:rPr>
        <w:t xml:space="preserve"> </w:t>
      </w:r>
      <w:r w:rsidR="00153AB7" w:rsidRPr="00DB6C42">
        <w:rPr>
          <w:rFonts w:ascii="Arial" w:hAnsi="Arial" w:cs="Arial"/>
          <w:lang w:eastAsia="en-GB"/>
        </w:rPr>
        <w:t xml:space="preserve">In order to meet those timescales MHCS requires applications on a standard template </w:t>
      </w:r>
      <w:r w:rsidR="002B35D4" w:rsidRPr="00DB6C42">
        <w:rPr>
          <w:rFonts w:ascii="Arial" w:hAnsi="Arial" w:cs="Arial"/>
          <w:lang w:eastAsia="en-GB"/>
        </w:rPr>
        <w:t xml:space="preserve">(see: </w:t>
      </w:r>
      <w:hyperlink r:id="rId22" w:history="1">
        <w:r w:rsidR="00DB6C42" w:rsidRPr="009250D5">
          <w:rPr>
            <w:rStyle w:val="Hyperlink"/>
            <w:rFonts w:ascii="Arial" w:hAnsi="Arial" w:cs="Arial"/>
            <w:color w:val="7030A0"/>
          </w:rPr>
          <w:t>discharge application form</w:t>
        </w:r>
        <w:r w:rsidR="00DB6C42" w:rsidRPr="006E0A6A">
          <w:rPr>
            <w:rStyle w:val="Hyperlink"/>
            <w:rFonts w:ascii="Arial" w:hAnsi="Arial" w:cs="Arial"/>
            <w:color w:val="auto"/>
          </w:rPr>
          <w:t>)</w:t>
        </w:r>
      </w:hyperlink>
    </w:p>
    <w:p w14:paraId="5826AE0A" w14:textId="77777777" w:rsidR="00DD4792" w:rsidRPr="00763060" w:rsidRDefault="00DD4792" w:rsidP="00763060">
      <w:pPr>
        <w:pStyle w:val="NoSpacing"/>
        <w:jc w:val="both"/>
        <w:rPr>
          <w:rFonts w:ascii="Arial" w:hAnsi="Arial" w:cs="Arial"/>
          <w:spacing w:val="-3"/>
          <w:lang w:eastAsia="en-GB"/>
        </w:rPr>
      </w:pPr>
    </w:p>
    <w:p w14:paraId="5EEFAB7E" w14:textId="07A3923E" w:rsidR="00DD4792" w:rsidRPr="004F1077" w:rsidRDefault="00DD4792" w:rsidP="002F16B9">
      <w:pPr>
        <w:pStyle w:val="NoSpacing"/>
        <w:numPr>
          <w:ilvl w:val="0"/>
          <w:numId w:val="16"/>
        </w:numPr>
        <w:jc w:val="both"/>
        <w:rPr>
          <w:rFonts w:ascii="Arial" w:hAnsi="Arial" w:cs="Arial"/>
          <w:spacing w:val="-3"/>
          <w:u w:val="single"/>
          <w:lang w:eastAsia="en-GB"/>
        </w:rPr>
      </w:pPr>
      <w:bookmarkStart w:id="1" w:name="Legal"/>
      <w:r w:rsidRPr="004F1077">
        <w:rPr>
          <w:rFonts w:ascii="Arial" w:hAnsi="Arial" w:cs="Arial"/>
          <w:spacing w:val="-3"/>
          <w:u w:val="single"/>
          <w:lang w:eastAsia="en-GB"/>
        </w:rPr>
        <w:t>Legal Provisions</w:t>
      </w:r>
    </w:p>
    <w:bookmarkEnd w:id="1"/>
    <w:p w14:paraId="2B92F643" w14:textId="780F3E0D" w:rsidR="00DD4792" w:rsidRDefault="00DD4792" w:rsidP="00763060">
      <w:pPr>
        <w:pStyle w:val="NoSpacing"/>
        <w:jc w:val="both"/>
        <w:rPr>
          <w:rFonts w:ascii="Arial" w:hAnsi="Arial" w:cs="Arial"/>
          <w:spacing w:val="-3"/>
          <w:lang w:eastAsia="en-GB"/>
        </w:rPr>
      </w:pPr>
    </w:p>
    <w:p w14:paraId="3FFE3AFC" w14:textId="1BA1631A" w:rsidR="00DD4792" w:rsidRDefault="00BB2365" w:rsidP="00BB2365">
      <w:pPr>
        <w:pStyle w:val="NoSpacing"/>
        <w:jc w:val="both"/>
        <w:rPr>
          <w:rFonts w:ascii="Arial" w:hAnsi="Arial" w:cs="Arial"/>
          <w:lang w:eastAsia="en-GB"/>
        </w:rPr>
      </w:pPr>
      <w:r>
        <w:rPr>
          <w:rFonts w:ascii="Arial" w:hAnsi="Arial" w:cs="Arial"/>
          <w:spacing w:val="-3"/>
          <w:lang w:eastAsia="en-GB"/>
        </w:rPr>
        <w:t xml:space="preserve">2.1 </w:t>
      </w:r>
      <w:r>
        <w:rPr>
          <w:rFonts w:ascii="Arial" w:hAnsi="Arial" w:cs="Arial"/>
          <w:spacing w:val="-3"/>
          <w:lang w:eastAsia="en-GB"/>
        </w:rPr>
        <w:tab/>
      </w:r>
      <w:r w:rsidR="002F16B9">
        <w:rPr>
          <w:rFonts w:ascii="Arial" w:hAnsi="Arial" w:cs="Arial"/>
          <w:spacing w:val="-3"/>
          <w:lang w:eastAsia="en-GB"/>
        </w:rPr>
        <w:t>S</w:t>
      </w:r>
      <w:r w:rsidR="00DD4792" w:rsidRPr="00763060">
        <w:rPr>
          <w:rFonts w:ascii="Arial" w:hAnsi="Arial" w:cs="Arial"/>
          <w:spacing w:val="-3"/>
          <w:lang w:eastAsia="en-GB"/>
        </w:rPr>
        <w:t xml:space="preserve">ection </w:t>
      </w:r>
      <w:r w:rsidR="00AE3317" w:rsidRPr="00763060">
        <w:rPr>
          <w:rFonts w:ascii="Arial" w:hAnsi="Arial" w:cs="Arial"/>
          <w:spacing w:val="-3"/>
          <w:lang w:eastAsia="en-GB"/>
        </w:rPr>
        <w:t>42</w:t>
      </w:r>
      <w:r w:rsidR="006335CD">
        <w:rPr>
          <w:rFonts w:ascii="Arial" w:hAnsi="Arial" w:cs="Arial"/>
          <w:spacing w:val="-3"/>
          <w:lang w:eastAsia="en-GB"/>
        </w:rPr>
        <w:t xml:space="preserve">(1) and </w:t>
      </w:r>
      <w:r w:rsidR="00AE3317" w:rsidRPr="00763060">
        <w:rPr>
          <w:rFonts w:ascii="Arial" w:hAnsi="Arial" w:cs="Arial"/>
          <w:spacing w:val="-3"/>
          <w:lang w:eastAsia="en-GB"/>
        </w:rPr>
        <w:t>(</w:t>
      </w:r>
      <w:r w:rsidR="00D27466">
        <w:rPr>
          <w:rFonts w:ascii="Arial" w:hAnsi="Arial" w:cs="Arial"/>
          <w:spacing w:val="-3"/>
          <w:lang w:eastAsia="en-GB"/>
        </w:rPr>
        <w:t>2</w:t>
      </w:r>
      <w:r w:rsidR="00AE3317" w:rsidRPr="00763060">
        <w:rPr>
          <w:rFonts w:ascii="Arial" w:hAnsi="Arial" w:cs="Arial"/>
          <w:spacing w:val="-3"/>
          <w:lang w:eastAsia="en-GB"/>
        </w:rPr>
        <w:t>)</w:t>
      </w:r>
      <w:r w:rsidR="00DD4792" w:rsidRPr="00763060">
        <w:rPr>
          <w:rFonts w:ascii="Arial" w:hAnsi="Arial" w:cs="Arial"/>
          <w:spacing w:val="-3"/>
          <w:lang w:eastAsia="en-GB"/>
        </w:rPr>
        <w:t xml:space="preserve"> of the MHA </w:t>
      </w:r>
      <w:r w:rsidR="00E2647D" w:rsidRPr="00763060">
        <w:rPr>
          <w:rFonts w:ascii="Arial" w:hAnsi="Arial" w:cs="Arial"/>
          <w:spacing w:val="-3"/>
          <w:lang w:eastAsia="en-GB"/>
        </w:rPr>
        <w:t xml:space="preserve">enables </w:t>
      </w:r>
      <w:r w:rsidR="00DD4792" w:rsidRPr="00763060">
        <w:rPr>
          <w:rFonts w:ascii="Arial" w:hAnsi="Arial" w:cs="Arial"/>
          <w:spacing w:val="-3"/>
          <w:lang w:eastAsia="en-GB"/>
        </w:rPr>
        <w:t>the SoS</w:t>
      </w:r>
      <w:r w:rsidR="00E2647D" w:rsidRPr="00763060">
        <w:rPr>
          <w:rFonts w:ascii="Arial" w:hAnsi="Arial" w:cs="Arial"/>
          <w:spacing w:val="-3"/>
          <w:lang w:eastAsia="en-GB"/>
        </w:rPr>
        <w:t xml:space="preserve"> to consider applications for the discharge of a restricted patient into the community. </w:t>
      </w:r>
      <w:r w:rsidR="00DD4792" w:rsidRPr="00763060">
        <w:rPr>
          <w:rFonts w:ascii="Arial" w:hAnsi="Arial" w:cs="Arial"/>
          <w:lang w:eastAsia="en-GB"/>
        </w:rPr>
        <w:t xml:space="preserve">In practice, decisions are taken by officials from MHCS within </w:t>
      </w:r>
      <w:r w:rsidR="00110C2E">
        <w:rPr>
          <w:rFonts w:ascii="Arial" w:hAnsi="Arial" w:cs="Arial"/>
          <w:lang w:eastAsia="en-GB"/>
        </w:rPr>
        <w:t>HM</w:t>
      </w:r>
      <w:r w:rsidR="00DD4792" w:rsidRPr="00763060">
        <w:rPr>
          <w:rFonts w:ascii="Arial" w:hAnsi="Arial" w:cs="Arial"/>
          <w:lang w:eastAsia="en-GB"/>
        </w:rPr>
        <w:t xml:space="preserve"> Prison and Probation Service (HMPPS), an executive agency of the Ministry of Justice (MOJ), on behalf of the SoS under delegated arrangements.</w:t>
      </w:r>
    </w:p>
    <w:p w14:paraId="1729BCCD" w14:textId="2729148B" w:rsidR="00DD4792" w:rsidRDefault="00DD4792" w:rsidP="00763060">
      <w:pPr>
        <w:pStyle w:val="NoSpacing"/>
        <w:jc w:val="both"/>
        <w:rPr>
          <w:rFonts w:ascii="Arial" w:hAnsi="Arial" w:cs="Arial"/>
        </w:rPr>
      </w:pPr>
    </w:p>
    <w:p w14:paraId="6E05DF73" w14:textId="3AADB8CA" w:rsidR="00E37F23" w:rsidRDefault="00E37F23" w:rsidP="00763060">
      <w:pPr>
        <w:pStyle w:val="NoSpacing"/>
        <w:jc w:val="both"/>
        <w:rPr>
          <w:rFonts w:ascii="Arial" w:hAnsi="Arial" w:cs="Arial"/>
        </w:rPr>
      </w:pPr>
      <w:r>
        <w:rPr>
          <w:rFonts w:ascii="Arial" w:hAnsi="Arial" w:cs="Arial"/>
        </w:rPr>
        <w:t>2.2</w:t>
      </w:r>
      <w:r>
        <w:rPr>
          <w:rFonts w:ascii="Arial" w:hAnsi="Arial" w:cs="Arial"/>
        </w:rPr>
        <w:tab/>
        <w:t>Applications for confirmation of discharge under Section 23</w:t>
      </w:r>
      <w:r w:rsidR="00C4180D">
        <w:rPr>
          <w:rFonts w:ascii="Arial" w:hAnsi="Arial" w:cs="Arial"/>
        </w:rPr>
        <w:t xml:space="preserve"> will be considered as if they had been made under Section 42.</w:t>
      </w:r>
    </w:p>
    <w:p w14:paraId="3596DFBC" w14:textId="77777777" w:rsidR="00C4180D" w:rsidRPr="00763060" w:rsidRDefault="00C4180D" w:rsidP="00763060">
      <w:pPr>
        <w:pStyle w:val="NoSpacing"/>
        <w:jc w:val="both"/>
        <w:rPr>
          <w:rFonts w:ascii="Arial" w:hAnsi="Arial" w:cs="Arial"/>
        </w:rPr>
      </w:pPr>
    </w:p>
    <w:p w14:paraId="373CC37D" w14:textId="240B9DF7" w:rsidR="00DD4792" w:rsidRPr="004F1077" w:rsidRDefault="00DD4792" w:rsidP="002F16B9">
      <w:pPr>
        <w:pStyle w:val="NoSpacing"/>
        <w:numPr>
          <w:ilvl w:val="0"/>
          <w:numId w:val="16"/>
        </w:numPr>
        <w:jc w:val="both"/>
        <w:rPr>
          <w:rFonts w:ascii="Arial" w:hAnsi="Arial" w:cs="Arial"/>
          <w:u w:val="single"/>
        </w:rPr>
      </w:pPr>
      <w:bookmarkStart w:id="2" w:name="Types"/>
      <w:r w:rsidRPr="004F1077">
        <w:rPr>
          <w:rFonts w:ascii="Arial" w:hAnsi="Arial" w:cs="Arial"/>
          <w:u w:val="single"/>
        </w:rPr>
        <w:t>Types of Restricted Patients</w:t>
      </w:r>
    </w:p>
    <w:bookmarkEnd w:id="2"/>
    <w:p w14:paraId="31246309" w14:textId="77777777" w:rsidR="00DD4792" w:rsidRPr="00763060" w:rsidRDefault="00DD4792" w:rsidP="00763060">
      <w:pPr>
        <w:pStyle w:val="NoSpacing"/>
        <w:jc w:val="both"/>
        <w:rPr>
          <w:rFonts w:ascii="Arial" w:hAnsi="Arial" w:cs="Arial"/>
        </w:rPr>
      </w:pPr>
    </w:p>
    <w:p w14:paraId="5BF814D4" w14:textId="105E95DB" w:rsidR="00DD4792" w:rsidRPr="00763060" w:rsidRDefault="002F16B9" w:rsidP="00763060">
      <w:pPr>
        <w:pStyle w:val="NoSpacing"/>
        <w:jc w:val="both"/>
        <w:rPr>
          <w:rFonts w:ascii="Arial" w:hAnsi="Arial" w:cs="Arial"/>
          <w:lang w:eastAsia="en-GB"/>
        </w:rPr>
      </w:pPr>
      <w:r>
        <w:rPr>
          <w:rFonts w:ascii="Arial" w:hAnsi="Arial" w:cs="Arial"/>
          <w:lang w:eastAsia="en-GB"/>
        </w:rPr>
        <w:t>3.1</w:t>
      </w:r>
      <w:r>
        <w:rPr>
          <w:rFonts w:ascii="Arial" w:hAnsi="Arial" w:cs="Arial"/>
          <w:lang w:eastAsia="en-GB"/>
        </w:rPr>
        <w:tab/>
      </w:r>
      <w:r w:rsidR="00DD4792" w:rsidRPr="00763060">
        <w:rPr>
          <w:rFonts w:ascii="Arial" w:hAnsi="Arial" w:cs="Arial"/>
          <w:lang w:eastAsia="en-GB"/>
        </w:rPr>
        <w:t xml:space="preserve">Restricted patients are mentally disordered offenders who are detained in hospital for treatment and who are subject to special controls by the SoS. They include offenders diverted from the Courts into the hospital system, and those transferred to secure hospitals from prison (or Immigration Centre) and made subject to a restriction direction. For full details of the types of Restricted Patient see </w:t>
      </w:r>
      <w:hyperlink r:id="rId23" w:history="1">
        <w:r w:rsidR="00DD4792" w:rsidRPr="006203FA">
          <w:rPr>
            <w:rStyle w:val="Hyperlink"/>
            <w:rFonts w:ascii="Arial" w:hAnsi="Arial" w:cs="Arial"/>
            <w:color w:val="7030A0"/>
            <w:lang w:eastAsia="en-GB"/>
          </w:rPr>
          <w:t>Mentally disordered offenders - the restricted patient system</w:t>
        </w:r>
      </w:hyperlink>
      <w:r w:rsidR="00DD4792" w:rsidRPr="006203FA">
        <w:rPr>
          <w:rStyle w:val="Hyperlink"/>
          <w:rFonts w:ascii="Arial" w:hAnsi="Arial" w:cs="Arial"/>
          <w:color w:val="7030A0"/>
          <w:lang w:eastAsia="en-GB"/>
        </w:rPr>
        <w:t>.</w:t>
      </w:r>
    </w:p>
    <w:p w14:paraId="5743EA92" w14:textId="77777777" w:rsidR="00DD4792" w:rsidRPr="00763060" w:rsidRDefault="00DD4792" w:rsidP="00763060">
      <w:pPr>
        <w:pStyle w:val="NoSpacing"/>
        <w:jc w:val="both"/>
        <w:rPr>
          <w:rFonts w:ascii="Arial" w:hAnsi="Arial" w:cs="Arial"/>
        </w:rPr>
      </w:pPr>
    </w:p>
    <w:p w14:paraId="638ACFE8" w14:textId="02A8A08E" w:rsidR="00DD4792" w:rsidRPr="004F1077" w:rsidRDefault="00DD4792" w:rsidP="00156670">
      <w:pPr>
        <w:pStyle w:val="NoSpacing"/>
        <w:numPr>
          <w:ilvl w:val="0"/>
          <w:numId w:val="16"/>
        </w:numPr>
        <w:jc w:val="both"/>
        <w:rPr>
          <w:rFonts w:ascii="Arial" w:hAnsi="Arial" w:cs="Arial"/>
          <w:u w:val="single"/>
        </w:rPr>
      </w:pPr>
      <w:bookmarkStart w:id="3" w:name="Specific"/>
      <w:r w:rsidRPr="004F1077">
        <w:rPr>
          <w:rFonts w:ascii="Arial" w:hAnsi="Arial" w:cs="Arial"/>
          <w:u w:val="single"/>
        </w:rPr>
        <w:t>Specific Categories of Patients</w:t>
      </w:r>
    </w:p>
    <w:bookmarkEnd w:id="3"/>
    <w:p w14:paraId="5F56F48F" w14:textId="77777777" w:rsidR="00DD4792" w:rsidRPr="00763060" w:rsidRDefault="00DD4792" w:rsidP="00763060">
      <w:pPr>
        <w:pStyle w:val="NoSpacing"/>
        <w:jc w:val="both"/>
        <w:rPr>
          <w:rFonts w:ascii="Arial" w:hAnsi="Arial" w:cs="Arial"/>
        </w:rPr>
      </w:pPr>
    </w:p>
    <w:p w14:paraId="25F106C4" w14:textId="54E4A415" w:rsidR="00DD4792" w:rsidRDefault="00DD4792" w:rsidP="00763060">
      <w:pPr>
        <w:pStyle w:val="NoSpacing"/>
        <w:jc w:val="both"/>
        <w:rPr>
          <w:rFonts w:ascii="Arial" w:hAnsi="Arial" w:cs="Arial"/>
          <w:i/>
        </w:rPr>
      </w:pPr>
      <w:r w:rsidRPr="00763060">
        <w:rPr>
          <w:rFonts w:ascii="Arial" w:hAnsi="Arial" w:cs="Arial"/>
          <w:i/>
        </w:rPr>
        <w:t>Patients Considered Unfit to Plead at their Trial</w:t>
      </w:r>
    </w:p>
    <w:p w14:paraId="6277903F" w14:textId="77777777" w:rsidR="004F1077" w:rsidRPr="00763060" w:rsidRDefault="004F1077" w:rsidP="00763060">
      <w:pPr>
        <w:pStyle w:val="NoSpacing"/>
        <w:jc w:val="both"/>
        <w:rPr>
          <w:rFonts w:ascii="Arial" w:hAnsi="Arial" w:cs="Arial"/>
          <w:i/>
        </w:rPr>
      </w:pPr>
    </w:p>
    <w:p w14:paraId="6ECCB91D" w14:textId="1246F2FC" w:rsidR="00DD4792" w:rsidRPr="00763060" w:rsidRDefault="00156670" w:rsidP="00763060">
      <w:pPr>
        <w:pStyle w:val="NoSpacing"/>
        <w:jc w:val="both"/>
        <w:rPr>
          <w:rFonts w:ascii="Arial" w:hAnsi="Arial" w:cs="Arial"/>
        </w:rPr>
      </w:pPr>
      <w:r>
        <w:rPr>
          <w:rFonts w:ascii="Arial" w:hAnsi="Arial" w:cs="Arial"/>
        </w:rPr>
        <w:lastRenderedPageBreak/>
        <w:t>4.1</w:t>
      </w:r>
      <w:r>
        <w:rPr>
          <w:rFonts w:ascii="Arial" w:hAnsi="Arial" w:cs="Arial"/>
        </w:rPr>
        <w:tab/>
      </w:r>
      <w:r w:rsidR="00DD4792" w:rsidRPr="00763060">
        <w:rPr>
          <w:rFonts w:ascii="Arial" w:hAnsi="Arial" w:cs="Arial"/>
        </w:rPr>
        <w:t xml:space="preserve">Patients identified by the Court as unfit to plead at the time of trial, and made subject to a Hospital Order made under section 5 of the Criminal Procedure (Insanity) Act 1964 (as substituted by s24 of the Domestic Violence Crime and Victims Act 2004), are subject to regular review by MHCS to establish whether they are now considered to be fit to plead (see guidance available </w:t>
      </w:r>
      <w:hyperlink r:id="rId24" w:history="1">
        <w:r w:rsidR="00DD4792" w:rsidRPr="00763060">
          <w:rPr>
            <w:rStyle w:val="Hyperlink"/>
            <w:rFonts w:ascii="Arial" w:hAnsi="Arial" w:cs="Arial"/>
            <w:color w:val="7030A0"/>
          </w:rPr>
          <w:t>here</w:t>
        </w:r>
      </w:hyperlink>
      <w:r w:rsidR="00DD4792" w:rsidRPr="00763060">
        <w:rPr>
          <w:rFonts w:ascii="Arial" w:hAnsi="Arial" w:cs="Arial"/>
        </w:rPr>
        <w:t xml:space="preserve">). In response to applications for </w:t>
      </w:r>
      <w:r w:rsidR="002B752E" w:rsidRPr="00763060">
        <w:rPr>
          <w:rFonts w:ascii="Arial" w:hAnsi="Arial" w:cs="Arial"/>
        </w:rPr>
        <w:t>discharge</w:t>
      </w:r>
      <w:r w:rsidR="00DD4792" w:rsidRPr="00763060">
        <w:rPr>
          <w:rFonts w:ascii="Arial" w:hAnsi="Arial" w:cs="Arial"/>
        </w:rPr>
        <w:t xml:space="preserve"> on behalf of these patients, however, MHCS case managers may ask R</w:t>
      </w:r>
      <w:r w:rsidR="004B1B77">
        <w:rPr>
          <w:rFonts w:ascii="Arial" w:hAnsi="Arial" w:cs="Arial"/>
        </w:rPr>
        <w:t xml:space="preserve">esponsible </w:t>
      </w:r>
      <w:r w:rsidR="00DD4792" w:rsidRPr="00763060">
        <w:rPr>
          <w:rFonts w:ascii="Arial" w:hAnsi="Arial" w:cs="Arial"/>
        </w:rPr>
        <w:t>C</w:t>
      </w:r>
      <w:r w:rsidR="004B1B77">
        <w:rPr>
          <w:rFonts w:ascii="Arial" w:hAnsi="Arial" w:cs="Arial"/>
        </w:rPr>
        <w:t>linician</w:t>
      </w:r>
      <w:r w:rsidR="00DD4792" w:rsidRPr="00763060">
        <w:rPr>
          <w:rFonts w:ascii="Arial" w:hAnsi="Arial" w:cs="Arial"/>
        </w:rPr>
        <w:t xml:space="preserve">s </w:t>
      </w:r>
      <w:r w:rsidR="004B1B77">
        <w:rPr>
          <w:rFonts w:ascii="Arial" w:hAnsi="Arial" w:cs="Arial"/>
        </w:rPr>
        <w:t xml:space="preserve">(RCs) </w:t>
      </w:r>
      <w:r w:rsidR="00DD4792" w:rsidRPr="00763060">
        <w:rPr>
          <w:rFonts w:ascii="Arial" w:hAnsi="Arial" w:cs="Arial"/>
        </w:rPr>
        <w:t>again whether they think the patient is fit to plead</w:t>
      </w:r>
      <w:r w:rsidR="00E42FDF">
        <w:rPr>
          <w:rFonts w:ascii="Arial" w:hAnsi="Arial" w:cs="Arial"/>
        </w:rPr>
        <w:t xml:space="preserve"> to</w:t>
      </w:r>
      <w:r w:rsidR="00DD4792" w:rsidRPr="00763060">
        <w:rPr>
          <w:rFonts w:ascii="Arial" w:hAnsi="Arial" w:cs="Arial"/>
        </w:rPr>
        <w:t xml:space="preserve"> their offence prior to making a decision. Applications are treated on their merits and decisions made following risk assessment irrespective of the patient’s fitness to plead at any time but the overall context is that if the patient has recovered to the extent that they are considered suitable to </w:t>
      </w:r>
      <w:r w:rsidR="00591FC9" w:rsidRPr="00763060">
        <w:rPr>
          <w:rFonts w:ascii="Arial" w:hAnsi="Arial" w:cs="Arial"/>
        </w:rPr>
        <w:t>be discharged</w:t>
      </w:r>
      <w:r w:rsidR="00DD4792" w:rsidRPr="00763060">
        <w:rPr>
          <w:rFonts w:ascii="Arial" w:hAnsi="Arial" w:cs="Arial"/>
        </w:rPr>
        <w:t xml:space="preserve"> from hospital, then a question should also be asked about their suitability to stand trial for the offences for which they were originally considered unfit to plead.</w:t>
      </w:r>
    </w:p>
    <w:p w14:paraId="464B24CB" w14:textId="77777777" w:rsidR="004F1077" w:rsidRDefault="004F1077" w:rsidP="00763060">
      <w:pPr>
        <w:pStyle w:val="NoSpacing"/>
        <w:jc w:val="both"/>
        <w:rPr>
          <w:rFonts w:ascii="Arial" w:hAnsi="Arial" w:cs="Arial"/>
          <w:i/>
        </w:rPr>
      </w:pPr>
    </w:p>
    <w:p w14:paraId="435EA5AF" w14:textId="1FE599D4" w:rsidR="00DD4792" w:rsidRPr="00763060" w:rsidRDefault="00DD4792" w:rsidP="00763060">
      <w:pPr>
        <w:pStyle w:val="NoSpacing"/>
        <w:jc w:val="both"/>
        <w:rPr>
          <w:rFonts w:ascii="Arial" w:hAnsi="Arial" w:cs="Arial"/>
          <w:i/>
        </w:rPr>
      </w:pPr>
      <w:r w:rsidRPr="00763060">
        <w:rPr>
          <w:rFonts w:ascii="Arial" w:hAnsi="Arial" w:cs="Arial"/>
          <w:i/>
        </w:rPr>
        <w:t xml:space="preserve">Transferred Prisoners  </w:t>
      </w:r>
    </w:p>
    <w:p w14:paraId="2106F175" w14:textId="77777777" w:rsidR="00DD4792" w:rsidRPr="00763060" w:rsidRDefault="00DD4792" w:rsidP="00763060">
      <w:pPr>
        <w:pStyle w:val="NoSpacing"/>
        <w:jc w:val="both"/>
        <w:rPr>
          <w:rFonts w:ascii="Arial" w:hAnsi="Arial" w:cs="Arial"/>
        </w:rPr>
      </w:pPr>
    </w:p>
    <w:p w14:paraId="2269E8E7" w14:textId="4C0A7D0C" w:rsidR="00DD4792" w:rsidRPr="00763060" w:rsidRDefault="00156670" w:rsidP="00763060">
      <w:pPr>
        <w:pStyle w:val="NoSpacing"/>
        <w:jc w:val="both"/>
        <w:rPr>
          <w:rFonts w:ascii="Arial" w:hAnsi="Arial" w:cs="Arial"/>
        </w:rPr>
      </w:pPr>
      <w:r>
        <w:rPr>
          <w:rFonts w:ascii="Arial" w:hAnsi="Arial" w:cs="Arial"/>
          <w:lang w:val="en-US"/>
        </w:rPr>
        <w:t>4.2</w:t>
      </w:r>
      <w:r>
        <w:rPr>
          <w:rFonts w:ascii="Arial" w:hAnsi="Arial" w:cs="Arial"/>
          <w:lang w:val="en-US"/>
        </w:rPr>
        <w:tab/>
      </w:r>
      <w:r w:rsidR="00C3078D" w:rsidRPr="00763060">
        <w:rPr>
          <w:rFonts w:ascii="Arial" w:hAnsi="Arial" w:cs="Arial"/>
          <w:lang w:val="en-US"/>
        </w:rPr>
        <w:t>As a matter of policy, SoS will only consider applications from s37/41 patients. Any application from serving prisoners (transferred under s47 or subject to a s45A direction) will be considered as application to the Secretary of State for executive release</w:t>
      </w:r>
      <w:r w:rsidR="004B044E" w:rsidRPr="00763060">
        <w:rPr>
          <w:rFonts w:ascii="Arial" w:hAnsi="Arial" w:cs="Arial"/>
          <w:lang w:val="en-US"/>
        </w:rPr>
        <w:t xml:space="preserve"> and considered under </w:t>
      </w:r>
      <w:r w:rsidR="00C92387" w:rsidRPr="00763060">
        <w:rPr>
          <w:rFonts w:ascii="Arial" w:hAnsi="Arial" w:cs="Arial"/>
          <w:lang w:val="en-US"/>
        </w:rPr>
        <w:t>procedures which apply to serving prisoners.</w:t>
      </w:r>
      <w:r w:rsidR="00EB2579" w:rsidRPr="00763060">
        <w:rPr>
          <w:rFonts w:ascii="Arial" w:hAnsi="Arial" w:cs="Arial"/>
          <w:lang w:val="en-US"/>
        </w:rPr>
        <w:t xml:space="preserve"> </w:t>
      </w:r>
      <w:r w:rsidR="00D04561" w:rsidRPr="00763060">
        <w:rPr>
          <w:rFonts w:ascii="Arial" w:hAnsi="Arial" w:cs="Arial"/>
          <w:lang w:val="en-US"/>
        </w:rPr>
        <w:t>If the RC believes that a transferred</w:t>
      </w:r>
      <w:r w:rsidR="00DD4792" w:rsidRPr="00763060">
        <w:rPr>
          <w:rFonts w:ascii="Arial" w:hAnsi="Arial" w:cs="Arial"/>
        </w:rPr>
        <w:t xml:space="preserve"> prisoner (</w:t>
      </w:r>
      <w:r w:rsidR="00D04561" w:rsidRPr="00763060">
        <w:rPr>
          <w:rFonts w:ascii="Arial" w:hAnsi="Arial" w:cs="Arial"/>
        </w:rPr>
        <w:t>or</w:t>
      </w:r>
      <w:r w:rsidR="00DD4792" w:rsidRPr="00763060">
        <w:rPr>
          <w:rFonts w:ascii="Arial" w:hAnsi="Arial" w:cs="Arial"/>
        </w:rPr>
        <w:t xml:space="preserve"> s45A patients), has recovered sufficiently well to be suitable for </w:t>
      </w:r>
      <w:r w:rsidR="00BA404E" w:rsidRPr="00763060">
        <w:rPr>
          <w:rFonts w:ascii="Arial" w:hAnsi="Arial" w:cs="Arial"/>
        </w:rPr>
        <w:t>discharge</w:t>
      </w:r>
      <w:r w:rsidR="00DD4792" w:rsidRPr="00763060">
        <w:rPr>
          <w:rFonts w:ascii="Arial" w:hAnsi="Arial" w:cs="Arial"/>
        </w:rPr>
        <w:t>,</w:t>
      </w:r>
      <w:r w:rsidR="00BA404E" w:rsidRPr="00763060">
        <w:rPr>
          <w:rFonts w:ascii="Arial" w:hAnsi="Arial" w:cs="Arial"/>
        </w:rPr>
        <w:t xml:space="preserve"> consideration must be given</w:t>
      </w:r>
      <w:r w:rsidR="00580960" w:rsidRPr="00763060">
        <w:rPr>
          <w:rFonts w:ascii="Arial" w:hAnsi="Arial" w:cs="Arial"/>
        </w:rPr>
        <w:t xml:space="preserve"> as to whether</w:t>
      </w:r>
      <w:r w:rsidR="00DD4792" w:rsidRPr="00763060">
        <w:rPr>
          <w:rFonts w:ascii="Arial" w:hAnsi="Arial" w:cs="Arial"/>
        </w:rPr>
        <w:t xml:space="preserve"> they continue to meet the MHA detention criteria, and whether a return (remission) to prison should be sought.</w:t>
      </w:r>
    </w:p>
    <w:p w14:paraId="54189FC3" w14:textId="77777777" w:rsidR="00DD4792" w:rsidRPr="00763060" w:rsidRDefault="00DD4792" w:rsidP="00763060">
      <w:pPr>
        <w:pStyle w:val="NoSpacing"/>
        <w:jc w:val="both"/>
        <w:rPr>
          <w:rFonts w:ascii="Arial" w:hAnsi="Arial" w:cs="Arial"/>
        </w:rPr>
      </w:pPr>
    </w:p>
    <w:p w14:paraId="22FF5828" w14:textId="77777777" w:rsidR="00DD4792" w:rsidRPr="00763060" w:rsidRDefault="00DD4792" w:rsidP="00763060">
      <w:pPr>
        <w:pStyle w:val="NoSpacing"/>
        <w:jc w:val="both"/>
        <w:rPr>
          <w:rFonts w:ascii="Arial" w:hAnsi="Arial" w:cs="Arial"/>
          <w:i/>
        </w:rPr>
      </w:pPr>
      <w:r w:rsidRPr="00763060">
        <w:rPr>
          <w:rFonts w:ascii="Arial" w:hAnsi="Arial" w:cs="Arial"/>
          <w:i/>
        </w:rPr>
        <w:t>Foreign National Patients</w:t>
      </w:r>
    </w:p>
    <w:p w14:paraId="38E5C1C3" w14:textId="7A695D3C" w:rsidR="00DD4792" w:rsidRDefault="00DD4792" w:rsidP="00763060">
      <w:pPr>
        <w:pStyle w:val="NoSpacing"/>
        <w:jc w:val="both"/>
        <w:rPr>
          <w:rFonts w:ascii="Arial" w:hAnsi="Arial" w:cs="Arial"/>
        </w:rPr>
      </w:pPr>
    </w:p>
    <w:p w14:paraId="5F219FCB" w14:textId="2ACF48E3" w:rsidR="005C2873" w:rsidRDefault="00156670" w:rsidP="00763060">
      <w:pPr>
        <w:pStyle w:val="NoSpacing"/>
        <w:jc w:val="both"/>
        <w:rPr>
          <w:rFonts w:ascii="Arial" w:hAnsi="Arial" w:cs="Arial"/>
        </w:rPr>
      </w:pPr>
      <w:r>
        <w:rPr>
          <w:rFonts w:ascii="Arial" w:hAnsi="Arial" w:cs="Arial"/>
        </w:rPr>
        <w:t>4.3</w:t>
      </w:r>
      <w:r>
        <w:rPr>
          <w:rFonts w:ascii="Arial" w:hAnsi="Arial" w:cs="Arial"/>
        </w:rPr>
        <w:tab/>
      </w:r>
      <w:r w:rsidR="002D527C" w:rsidRPr="00AB6FA2">
        <w:rPr>
          <w:rFonts w:ascii="Arial" w:hAnsi="Arial" w:cs="Arial"/>
        </w:rPr>
        <w:t xml:space="preserve">The Home Office may have an interest in patients who are nationals of countries outside the UK particularly those who meet the criteria for deportation or have an outstanding deportation order against them.  In order to assist the Home Office in discharging its statutory obligations, RCs and hospitals </w:t>
      </w:r>
      <w:r w:rsidR="00BB3188">
        <w:rPr>
          <w:rFonts w:ascii="Arial" w:hAnsi="Arial" w:cs="Arial"/>
        </w:rPr>
        <w:t>should</w:t>
      </w:r>
      <w:r w:rsidR="002D527C" w:rsidRPr="00AB6FA2">
        <w:rPr>
          <w:rFonts w:ascii="Arial" w:hAnsi="Arial" w:cs="Arial"/>
        </w:rPr>
        <w:t xml:space="preserve"> coordinate the patient’s discharge well in advance with the Home Office.  Contact should be made with the specialist Mentally Disordered Offenders Team in the Home Office</w:t>
      </w:r>
      <w:r w:rsidR="002D527C">
        <w:rPr>
          <w:rFonts w:ascii="Arial" w:hAnsi="Arial" w:cs="Arial"/>
        </w:rPr>
        <w:t xml:space="preserve"> (</w:t>
      </w:r>
      <w:hyperlink r:id="rId25" w:history="1">
        <w:r w:rsidR="002D527C" w:rsidRPr="006203FA">
          <w:rPr>
            <w:rStyle w:val="Hyperlink"/>
            <w:rFonts w:ascii="Arial" w:hAnsi="Arial" w:cs="Arial"/>
            <w:color w:val="7030A0"/>
          </w:rPr>
          <w:t>fnorcmdoenquiries@homeoffice.gov.uk</w:t>
        </w:r>
      </w:hyperlink>
      <w:r w:rsidR="002D527C">
        <w:rPr>
          <w:rFonts w:ascii="Arial" w:hAnsi="Arial" w:cs="Arial"/>
        </w:rPr>
        <w:t>)</w:t>
      </w:r>
      <w:r w:rsidR="002D527C" w:rsidRPr="00AB6FA2">
        <w:rPr>
          <w:rFonts w:ascii="Arial" w:hAnsi="Arial" w:cs="Arial"/>
        </w:rPr>
        <w:t xml:space="preserve"> when a patient is on a discharge pathway and </w:t>
      </w:r>
      <w:r w:rsidR="001A52A7">
        <w:rPr>
          <w:rFonts w:ascii="Arial" w:hAnsi="Arial" w:cs="Arial"/>
        </w:rPr>
        <w:t xml:space="preserve">an application for discharge </w:t>
      </w:r>
      <w:r w:rsidR="002D527C" w:rsidRPr="00AB6FA2">
        <w:rPr>
          <w:rFonts w:ascii="Arial" w:hAnsi="Arial" w:cs="Arial"/>
        </w:rPr>
        <w:t xml:space="preserve">is likely within the next 6-12 months. This allows time for the Home Office to obtain reports from the RC and to consider the case in full, and to allow for any appeal process.  </w:t>
      </w:r>
    </w:p>
    <w:p w14:paraId="0F490179" w14:textId="77777777" w:rsidR="005C2873" w:rsidRDefault="005C2873" w:rsidP="00763060">
      <w:pPr>
        <w:pStyle w:val="NoSpacing"/>
        <w:jc w:val="both"/>
        <w:rPr>
          <w:rFonts w:ascii="Arial" w:hAnsi="Arial" w:cs="Arial"/>
        </w:rPr>
      </w:pPr>
    </w:p>
    <w:p w14:paraId="372AC248" w14:textId="65963ECF" w:rsidR="002D527C" w:rsidRPr="00763060" w:rsidRDefault="00156670" w:rsidP="00763060">
      <w:pPr>
        <w:pStyle w:val="NoSpacing"/>
        <w:jc w:val="both"/>
        <w:rPr>
          <w:rFonts w:ascii="Arial" w:hAnsi="Arial" w:cs="Arial"/>
        </w:rPr>
      </w:pPr>
      <w:r>
        <w:rPr>
          <w:rFonts w:ascii="Arial" w:hAnsi="Arial" w:cs="Arial"/>
        </w:rPr>
        <w:t>4.4</w:t>
      </w:r>
      <w:r>
        <w:rPr>
          <w:rFonts w:ascii="Arial" w:hAnsi="Arial" w:cs="Arial"/>
        </w:rPr>
        <w:tab/>
      </w:r>
      <w:r w:rsidR="002D527C" w:rsidRPr="00AB6FA2">
        <w:rPr>
          <w:rFonts w:ascii="Arial" w:hAnsi="Arial" w:cs="Arial"/>
        </w:rPr>
        <w:t xml:space="preserve">The Home Office will seek to coordinate with RCs so that the patient, if deported, is supported by their care team and this is better done with deportation direct from hospital to allow RCs to prepare the patient for </w:t>
      </w:r>
      <w:r w:rsidR="002D527C" w:rsidRPr="00011C76">
        <w:rPr>
          <w:rFonts w:ascii="Arial" w:hAnsi="Arial" w:cs="Arial"/>
        </w:rPr>
        <w:t xml:space="preserve">deportation and where appropriate to make contact with  counterparts in the receiving country.  </w:t>
      </w:r>
      <w:r w:rsidR="002D527C" w:rsidRPr="00AB6FA2">
        <w:rPr>
          <w:rFonts w:ascii="Arial" w:hAnsi="Arial" w:cs="Arial"/>
        </w:rPr>
        <w:t xml:space="preserve">Where deportation action </w:t>
      </w:r>
      <w:r w:rsidR="002D527C">
        <w:rPr>
          <w:rFonts w:ascii="Arial" w:hAnsi="Arial" w:cs="Arial"/>
        </w:rPr>
        <w:t xml:space="preserve">cannot be enacted in a reasonable timescale or is not appropriate, </w:t>
      </w:r>
      <w:r w:rsidR="002D527C" w:rsidRPr="00AB6FA2">
        <w:rPr>
          <w:rFonts w:ascii="Arial" w:hAnsi="Arial" w:cs="Arial"/>
        </w:rPr>
        <w:t>close liaison with the Home Office team will ensure all safeguarding and contact management measures are put in place prior to the patient’s discharge in the UK</w:t>
      </w:r>
      <w:r w:rsidR="002D527C">
        <w:rPr>
          <w:rFonts w:ascii="Arial" w:hAnsi="Arial" w:cs="Arial"/>
        </w:rPr>
        <w:t xml:space="preserve">, including working closely with other agencies </w:t>
      </w:r>
      <w:r w:rsidR="00AA75AE">
        <w:rPr>
          <w:rFonts w:ascii="Arial" w:hAnsi="Arial" w:cs="Arial"/>
        </w:rPr>
        <w:t>within</w:t>
      </w:r>
      <w:r w:rsidR="002D527C">
        <w:rPr>
          <w:rFonts w:ascii="Arial" w:hAnsi="Arial" w:cs="Arial"/>
        </w:rPr>
        <w:t xml:space="preserve"> MAPPA</w:t>
      </w:r>
      <w:r w:rsidR="00F709E1">
        <w:rPr>
          <w:rFonts w:ascii="Arial" w:hAnsi="Arial" w:cs="Arial"/>
        </w:rPr>
        <w:t xml:space="preserve"> processes</w:t>
      </w:r>
      <w:r w:rsidR="00C76F95">
        <w:rPr>
          <w:rFonts w:ascii="Arial" w:hAnsi="Arial" w:cs="Arial"/>
        </w:rPr>
        <w:t xml:space="preserve"> (see below)</w:t>
      </w:r>
      <w:r w:rsidR="002D527C" w:rsidRPr="00AB6FA2">
        <w:rPr>
          <w:rFonts w:ascii="Arial" w:hAnsi="Arial" w:cs="Arial"/>
        </w:rPr>
        <w:t xml:space="preserve">. </w:t>
      </w:r>
    </w:p>
    <w:p w14:paraId="01281990" w14:textId="77777777" w:rsidR="002D527C" w:rsidRPr="00763060" w:rsidRDefault="002D527C" w:rsidP="00763060">
      <w:pPr>
        <w:pStyle w:val="NoSpacing"/>
        <w:jc w:val="both"/>
        <w:rPr>
          <w:rFonts w:ascii="Arial" w:hAnsi="Arial" w:cs="Arial"/>
          <w:i/>
        </w:rPr>
      </w:pPr>
    </w:p>
    <w:p w14:paraId="21A59861" w14:textId="77777777" w:rsidR="00DD4792" w:rsidRPr="00763060" w:rsidRDefault="00DD4792" w:rsidP="00763060">
      <w:pPr>
        <w:pStyle w:val="NoSpacing"/>
        <w:jc w:val="both"/>
        <w:rPr>
          <w:rFonts w:ascii="Arial" w:hAnsi="Arial" w:cs="Arial"/>
          <w:i/>
        </w:rPr>
      </w:pPr>
      <w:r w:rsidRPr="00763060">
        <w:rPr>
          <w:rFonts w:ascii="Arial" w:hAnsi="Arial" w:cs="Arial"/>
          <w:i/>
        </w:rPr>
        <w:t xml:space="preserve">Patients who Lack Capacity (and who may be subject to a DOLS Order following discharge) </w:t>
      </w:r>
    </w:p>
    <w:p w14:paraId="68D38A11" w14:textId="77777777" w:rsidR="00DD4792" w:rsidRPr="00763060" w:rsidRDefault="00DD4792" w:rsidP="00763060">
      <w:pPr>
        <w:pStyle w:val="NoSpacing"/>
        <w:jc w:val="both"/>
        <w:rPr>
          <w:rFonts w:ascii="Arial" w:hAnsi="Arial" w:cs="Arial"/>
        </w:rPr>
      </w:pPr>
    </w:p>
    <w:p w14:paraId="16649D4C" w14:textId="33999114" w:rsidR="00DD4792" w:rsidRPr="00763060" w:rsidRDefault="00156670" w:rsidP="00763060">
      <w:pPr>
        <w:pStyle w:val="NoSpacing"/>
        <w:jc w:val="both"/>
        <w:rPr>
          <w:rFonts w:ascii="Arial" w:hAnsi="Arial" w:cs="Arial"/>
        </w:rPr>
      </w:pPr>
      <w:r>
        <w:rPr>
          <w:rFonts w:ascii="Arial" w:hAnsi="Arial" w:cs="Arial"/>
        </w:rPr>
        <w:t>4.5</w:t>
      </w:r>
      <w:r>
        <w:rPr>
          <w:rFonts w:ascii="Arial" w:hAnsi="Arial" w:cs="Arial"/>
        </w:rPr>
        <w:tab/>
      </w:r>
      <w:r w:rsidR="00DD4792" w:rsidRPr="00763060">
        <w:rPr>
          <w:rFonts w:ascii="Arial" w:hAnsi="Arial" w:cs="Arial"/>
        </w:rPr>
        <w:t xml:space="preserve">There are a number of patients who, following assessment, are thought to lack capacity and who, if they were to be discharged into the community, would need, in their best interests, to be constantly supervised in a residential care home (or similar) under a Deprivation of Liberty Safeguards (DOLS) Order </w:t>
      </w:r>
      <w:r w:rsidR="00DD4792" w:rsidRPr="006203FA">
        <w:rPr>
          <w:rFonts w:ascii="Arial" w:hAnsi="Arial" w:cs="Arial"/>
          <w:color w:val="7030A0"/>
        </w:rPr>
        <w:t>(</w:t>
      </w:r>
      <w:hyperlink r:id="rId26" w:history="1">
        <w:r w:rsidR="00DD4792" w:rsidRPr="006203FA">
          <w:rPr>
            <w:rStyle w:val="Hyperlink"/>
            <w:rFonts w:ascii="Arial" w:hAnsi="Arial" w:cs="Arial"/>
            <w:color w:val="7030A0"/>
          </w:rPr>
          <w:t>Liberty Protection Safeguards</w:t>
        </w:r>
      </w:hyperlink>
      <w:r w:rsidR="00DD4792" w:rsidRPr="006203FA">
        <w:rPr>
          <w:rFonts w:ascii="Arial" w:hAnsi="Arial" w:cs="Arial"/>
          <w:color w:val="7030A0"/>
        </w:rPr>
        <w:t xml:space="preserve">) </w:t>
      </w:r>
      <w:r w:rsidR="00DD4792" w:rsidRPr="00763060">
        <w:rPr>
          <w:rFonts w:ascii="Arial" w:hAnsi="Arial" w:cs="Arial"/>
        </w:rPr>
        <w:t>made under the Mental Capacity Act</w:t>
      </w:r>
      <w:r w:rsidR="002C2822" w:rsidRPr="00763060">
        <w:rPr>
          <w:rFonts w:ascii="Arial" w:hAnsi="Arial" w:cs="Arial"/>
        </w:rPr>
        <w:t xml:space="preserve"> 2005</w:t>
      </w:r>
      <w:r w:rsidR="00DD4792" w:rsidRPr="00763060">
        <w:rPr>
          <w:rFonts w:ascii="Arial" w:hAnsi="Arial" w:cs="Arial"/>
        </w:rPr>
        <w:t xml:space="preserve">, as they are not able to live independently without the support such arrangements provide. When considering applications for </w:t>
      </w:r>
      <w:r w:rsidR="001E2F00" w:rsidRPr="00763060">
        <w:rPr>
          <w:rFonts w:ascii="Arial" w:hAnsi="Arial" w:cs="Arial"/>
        </w:rPr>
        <w:t>discharge</w:t>
      </w:r>
      <w:r w:rsidR="00DD4792" w:rsidRPr="00763060">
        <w:rPr>
          <w:rFonts w:ascii="Arial" w:hAnsi="Arial" w:cs="Arial"/>
        </w:rPr>
        <w:t xml:space="preserve"> for these patients the SoS will carefully consider the circumstances and assess the level of risk presented by the patient alongside </w:t>
      </w:r>
      <w:r w:rsidR="001E2F00" w:rsidRPr="00763060">
        <w:rPr>
          <w:rFonts w:ascii="Arial" w:hAnsi="Arial" w:cs="Arial"/>
        </w:rPr>
        <w:t>the prop</w:t>
      </w:r>
      <w:r w:rsidR="00A55975" w:rsidRPr="00763060">
        <w:rPr>
          <w:rFonts w:ascii="Arial" w:hAnsi="Arial" w:cs="Arial"/>
        </w:rPr>
        <w:t>osal to make a DOLS Order</w:t>
      </w:r>
      <w:r w:rsidR="00E2034E" w:rsidRPr="00763060">
        <w:rPr>
          <w:rFonts w:ascii="Arial" w:hAnsi="Arial" w:cs="Arial"/>
        </w:rPr>
        <w:t xml:space="preserve">. </w:t>
      </w:r>
      <w:r w:rsidR="00DD4792" w:rsidRPr="00763060">
        <w:rPr>
          <w:rFonts w:ascii="Arial" w:hAnsi="Arial" w:cs="Arial"/>
        </w:rPr>
        <w:t xml:space="preserve">Further details of the options available to patients who lack capacity can be found </w:t>
      </w:r>
      <w:hyperlink r:id="rId27" w:history="1">
        <w:r w:rsidR="00DD4792" w:rsidRPr="00763060">
          <w:rPr>
            <w:rStyle w:val="Hyperlink"/>
            <w:rFonts w:ascii="Arial" w:hAnsi="Arial" w:cs="Arial"/>
            <w:color w:val="7030A0"/>
          </w:rPr>
          <w:t>here</w:t>
        </w:r>
      </w:hyperlink>
      <w:r w:rsidR="00DD4792" w:rsidRPr="00763060">
        <w:rPr>
          <w:rFonts w:ascii="Arial" w:hAnsi="Arial" w:cs="Arial"/>
        </w:rPr>
        <w:t>.</w:t>
      </w:r>
    </w:p>
    <w:p w14:paraId="2CF32E66" w14:textId="57CF57A3" w:rsidR="00DD4792" w:rsidRDefault="00DD4792" w:rsidP="00763060">
      <w:pPr>
        <w:pStyle w:val="NoSpacing"/>
        <w:jc w:val="both"/>
        <w:rPr>
          <w:rFonts w:ascii="Arial" w:hAnsi="Arial" w:cs="Arial"/>
        </w:rPr>
      </w:pPr>
    </w:p>
    <w:p w14:paraId="19375B11" w14:textId="77777777" w:rsidR="00EC2F24" w:rsidRDefault="00EC2F24" w:rsidP="00595E87">
      <w:pPr>
        <w:pStyle w:val="NoSpacing"/>
        <w:jc w:val="both"/>
        <w:rPr>
          <w:rFonts w:ascii="Arial" w:hAnsi="Arial" w:cs="Arial"/>
          <w:i/>
          <w:iCs/>
        </w:rPr>
      </w:pPr>
    </w:p>
    <w:p w14:paraId="4861EF17" w14:textId="6FC5FAE7" w:rsidR="003B724A" w:rsidRPr="00595E87" w:rsidRDefault="00901137" w:rsidP="00595E87">
      <w:pPr>
        <w:pStyle w:val="NoSpacing"/>
        <w:jc w:val="both"/>
        <w:rPr>
          <w:rFonts w:ascii="Arial" w:hAnsi="Arial" w:cs="Arial"/>
          <w:i/>
          <w:iCs/>
        </w:rPr>
      </w:pPr>
      <w:r w:rsidRPr="00595E87">
        <w:rPr>
          <w:rFonts w:ascii="Arial" w:hAnsi="Arial" w:cs="Arial"/>
          <w:i/>
          <w:iCs/>
        </w:rPr>
        <w:lastRenderedPageBreak/>
        <w:t>Extremists</w:t>
      </w:r>
    </w:p>
    <w:p w14:paraId="51D66A98" w14:textId="77777777" w:rsidR="00A7408B" w:rsidRPr="00595E87" w:rsidRDefault="00A7408B" w:rsidP="00595E87">
      <w:pPr>
        <w:pStyle w:val="NoSpacing"/>
        <w:jc w:val="both"/>
        <w:rPr>
          <w:rFonts w:ascii="Arial" w:hAnsi="Arial" w:cs="Arial"/>
          <w:i/>
          <w:iCs/>
        </w:rPr>
      </w:pPr>
    </w:p>
    <w:p w14:paraId="2316CA79" w14:textId="683F9220" w:rsidR="00A7408B" w:rsidRPr="00595E87" w:rsidRDefault="00595E87" w:rsidP="00595E87">
      <w:pPr>
        <w:pStyle w:val="NoSpacing"/>
        <w:jc w:val="both"/>
        <w:rPr>
          <w:rFonts w:ascii="Arial" w:hAnsi="Arial" w:cs="Arial"/>
          <w:color w:val="000000"/>
          <w:lang w:eastAsia="en-GB"/>
        </w:rPr>
      </w:pPr>
      <w:r>
        <w:rPr>
          <w:rFonts w:ascii="Arial" w:eastAsia="Times New Roman" w:hAnsi="Arial" w:cs="Arial"/>
        </w:rPr>
        <w:t>4.6</w:t>
      </w:r>
      <w:r>
        <w:rPr>
          <w:rFonts w:ascii="Arial" w:eastAsia="Times New Roman" w:hAnsi="Arial" w:cs="Arial"/>
        </w:rPr>
        <w:tab/>
      </w:r>
      <w:r w:rsidR="005B1388" w:rsidRPr="00595E87">
        <w:rPr>
          <w:rFonts w:ascii="Arial" w:eastAsia="Times New Roman" w:hAnsi="Arial" w:cs="Arial"/>
        </w:rPr>
        <w:t xml:space="preserve">There are some restricted patients who have either been convicted of a </w:t>
      </w:r>
      <w:r w:rsidR="0092112C" w:rsidRPr="00595E87">
        <w:rPr>
          <w:rFonts w:ascii="Arial" w:eastAsia="Times New Roman" w:hAnsi="Arial" w:cs="Arial"/>
        </w:rPr>
        <w:t>terrorist</w:t>
      </w:r>
      <w:r w:rsidR="005F0115" w:rsidRPr="00595E87">
        <w:rPr>
          <w:rFonts w:ascii="Arial" w:eastAsia="Times New Roman" w:hAnsi="Arial" w:cs="Arial"/>
        </w:rPr>
        <w:t xml:space="preserve"> (TACT)</w:t>
      </w:r>
      <w:r w:rsidR="0092112C" w:rsidRPr="00595E87">
        <w:rPr>
          <w:rFonts w:ascii="Arial" w:eastAsia="Times New Roman" w:hAnsi="Arial" w:cs="Arial"/>
        </w:rPr>
        <w:t xml:space="preserve"> </w:t>
      </w:r>
      <w:r w:rsidR="0092112C" w:rsidRPr="00A14534">
        <w:rPr>
          <w:rFonts w:ascii="Arial" w:eastAsia="Times New Roman" w:hAnsi="Arial" w:cs="Arial"/>
        </w:rPr>
        <w:t>offence</w:t>
      </w:r>
      <w:r w:rsidR="005F0115" w:rsidRPr="00A14534">
        <w:rPr>
          <w:rFonts w:ascii="Arial" w:eastAsia="Times New Roman" w:hAnsi="Arial" w:cs="Arial"/>
        </w:rPr>
        <w:t xml:space="preserve"> or who </w:t>
      </w:r>
      <w:r w:rsidR="00A7408B" w:rsidRPr="00A14534">
        <w:rPr>
          <w:rFonts w:ascii="Arial" w:eastAsia="Times New Roman" w:hAnsi="Arial" w:cs="Arial"/>
        </w:rPr>
        <w:t xml:space="preserve">have </w:t>
      </w:r>
      <w:r w:rsidR="009B2F9E" w:rsidRPr="00A14534">
        <w:rPr>
          <w:rFonts w:ascii="Arial" w:eastAsia="Times New Roman" w:hAnsi="Arial" w:cs="Arial"/>
        </w:rPr>
        <w:t>come to the attention of agencies involved with</w:t>
      </w:r>
      <w:r w:rsidR="002345C5" w:rsidRPr="00A14534">
        <w:rPr>
          <w:rFonts w:ascii="Arial" w:eastAsia="Times New Roman" w:hAnsi="Arial" w:cs="Arial"/>
        </w:rPr>
        <w:t xml:space="preserve"> the </w:t>
      </w:r>
      <w:r w:rsidR="002C6417">
        <w:rPr>
          <w:rFonts w:ascii="Arial" w:eastAsia="Times New Roman" w:hAnsi="Arial" w:cs="Arial"/>
        </w:rPr>
        <w:t>P</w:t>
      </w:r>
      <w:r w:rsidR="002345C5" w:rsidRPr="00A14534">
        <w:rPr>
          <w:rFonts w:ascii="Arial" w:eastAsia="Times New Roman" w:hAnsi="Arial" w:cs="Arial"/>
        </w:rPr>
        <w:t>revent strategy</w:t>
      </w:r>
      <w:r w:rsidR="002409F7" w:rsidRPr="00A14534">
        <w:rPr>
          <w:rFonts w:ascii="Arial" w:eastAsia="Times New Roman" w:hAnsi="Arial" w:cs="Arial"/>
        </w:rPr>
        <w:t xml:space="preserve"> </w:t>
      </w:r>
      <w:r w:rsidR="001A5CF6" w:rsidRPr="00A14534">
        <w:rPr>
          <w:rFonts w:ascii="Arial" w:eastAsia="Times New Roman" w:hAnsi="Arial" w:cs="Arial"/>
        </w:rPr>
        <w:t xml:space="preserve">or </w:t>
      </w:r>
      <w:r w:rsidR="002409F7" w:rsidRPr="00A14534">
        <w:rPr>
          <w:rFonts w:ascii="Arial" w:eastAsia="Times New Roman" w:hAnsi="Arial" w:cs="Arial"/>
        </w:rPr>
        <w:t>for some other reason</w:t>
      </w:r>
      <w:r w:rsidR="002345C5" w:rsidRPr="00A14534">
        <w:rPr>
          <w:rFonts w:ascii="Arial" w:eastAsia="Times New Roman" w:hAnsi="Arial" w:cs="Arial"/>
        </w:rPr>
        <w:t>.</w:t>
      </w:r>
      <w:r w:rsidR="00555A0B" w:rsidRPr="00A14534">
        <w:rPr>
          <w:rFonts w:ascii="Arial" w:eastAsia="Times New Roman" w:hAnsi="Arial" w:cs="Arial"/>
        </w:rPr>
        <w:t xml:space="preserve"> </w:t>
      </w:r>
      <w:r w:rsidR="002345C5" w:rsidRPr="00A14534">
        <w:rPr>
          <w:rFonts w:ascii="Arial" w:eastAsia="Times New Roman" w:hAnsi="Arial" w:cs="Arial"/>
        </w:rPr>
        <w:t>In these</w:t>
      </w:r>
      <w:r w:rsidR="002409F7" w:rsidRPr="00A14534">
        <w:rPr>
          <w:rFonts w:ascii="Arial" w:eastAsia="Times New Roman" w:hAnsi="Arial" w:cs="Arial"/>
        </w:rPr>
        <w:t xml:space="preserve"> cases the RC will have been provided with a </w:t>
      </w:r>
      <w:r w:rsidR="00A7408B" w:rsidRPr="00A14534">
        <w:rPr>
          <w:rFonts w:ascii="Arial" w:hAnsi="Arial" w:cs="Arial"/>
        </w:rPr>
        <w:t xml:space="preserve">letter with a disclosable </w:t>
      </w:r>
      <w:r w:rsidR="00B017D0" w:rsidRPr="00A14534">
        <w:rPr>
          <w:rFonts w:ascii="Arial" w:hAnsi="Arial" w:cs="Arial"/>
        </w:rPr>
        <w:t>‘</w:t>
      </w:r>
      <w:r w:rsidR="00A7408B" w:rsidRPr="00A14534">
        <w:rPr>
          <w:rFonts w:ascii="Arial" w:hAnsi="Arial" w:cs="Arial"/>
        </w:rPr>
        <w:t>Form of Words</w:t>
      </w:r>
      <w:r w:rsidR="00B017D0" w:rsidRPr="00A14534">
        <w:rPr>
          <w:rFonts w:ascii="Arial" w:hAnsi="Arial" w:cs="Arial"/>
        </w:rPr>
        <w:t xml:space="preserve">’ </w:t>
      </w:r>
      <w:r w:rsidR="00A7408B" w:rsidRPr="00A14534">
        <w:rPr>
          <w:rFonts w:ascii="Arial" w:hAnsi="Arial" w:cs="Arial"/>
          <w:color w:val="000000"/>
        </w:rPr>
        <w:t xml:space="preserve">which will </w:t>
      </w:r>
      <w:r w:rsidR="001A5CF6" w:rsidRPr="00A14534">
        <w:rPr>
          <w:rFonts w:ascii="Arial" w:hAnsi="Arial" w:cs="Arial"/>
          <w:color w:val="000000"/>
        </w:rPr>
        <w:t>have</w:t>
      </w:r>
      <w:r w:rsidR="002577A2">
        <w:rPr>
          <w:rFonts w:ascii="Arial" w:hAnsi="Arial" w:cs="Arial"/>
          <w:color w:val="000000"/>
        </w:rPr>
        <w:t xml:space="preserve"> outlined the nature</w:t>
      </w:r>
      <w:r w:rsidR="00240770">
        <w:rPr>
          <w:rFonts w:ascii="Arial" w:hAnsi="Arial" w:cs="Arial"/>
          <w:color w:val="000000"/>
        </w:rPr>
        <w:t xml:space="preserve"> of the concerns and will have</w:t>
      </w:r>
      <w:r w:rsidR="001A5CF6" w:rsidRPr="00A14534">
        <w:rPr>
          <w:rFonts w:ascii="Arial" w:hAnsi="Arial" w:cs="Arial"/>
          <w:color w:val="000000"/>
        </w:rPr>
        <w:t xml:space="preserve"> </w:t>
      </w:r>
      <w:r w:rsidR="00A7408B" w:rsidRPr="00A14534">
        <w:rPr>
          <w:rFonts w:ascii="Arial" w:hAnsi="Arial" w:cs="Arial"/>
        </w:rPr>
        <w:t>identif</w:t>
      </w:r>
      <w:r w:rsidR="00B017D0" w:rsidRPr="00A14534">
        <w:rPr>
          <w:rFonts w:ascii="Arial" w:hAnsi="Arial" w:cs="Arial"/>
        </w:rPr>
        <w:t xml:space="preserve">ied </w:t>
      </w:r>
      <w:r w:rsidR="00A7408B" w:rsidRPr="00A14534">
        <w:rPr>
          <w:rFonts w:ascii="Arial" w:hAnsi="Arial" w:cs="Arial"/>
        </w:rPr>
        <w:t>the responsibilit</w:t>
      </w:r>
      <w:r w:rsidR="00926D0F" w:rsidRPr="00A14534">
        <w:rPr>
          <w:rFonts w:ascii="Arial" w:hAnsi="Arial" w:cs="Arial"/>
        </w:rPr>
        <w:t>ies of agencies</w:t>
      </w:r>
      <w:r w:rsidR="00A7408B" w:rsidRPr="00A14534">
        <w:rPr>
          <w:rFonts w:ascii="Arial" w:hAnsi="Arial" w:cs="Arial"/>
        </w:rPr>
        <w:t xml:space="preserve"> under MAPPA and Prevent</w:t>
      </w:r>
      <w:r w:rsidR="00A72E84">
        <w:rPr>
          <w:rFonts w:ascii="Arial" w:hAnsi="Arial" w:cs="Arial"/>
        </w:rPr>
        <w:t xml:space="preserve"> in the management of these cases</w:t>
      </w:r>
      <w:r w:rsidR="00A7408B" w:rsidRPr="00A14534">
        <w:rPr>
          <w:rFonts w:ascii="Arial" w:hAnsi="Arial" w:cs="Arial"/>
        </w:rPr>
        <w:t>.</w:t>
      </w:r>
      <w:r w:rsidR="00372B1B" w:rsidRPr="00A14534">
        <w:rPr>
          <w:rFonts w:ascii="Arial" w:hAnsi="Arial" w:cs="Arial"/>
        </w:rPr>
        <w:t xml:space="preserve"> </w:t>
      </w:r>
      <w:r w:rsidR="00C63F03" w:rsidRPr="00A14534">
        <w:rPr>
          <w:rFonts w:ascii="Arial" w:hAnsi="Arial" w:cs="Arial"/>
        </w:rPr>
        <w:t xml:space="preserve">MHCS will take into account the risks presented </w:t>
      </w:r>
      <w:r w:rsidR="0072481D" w:rsidRPr="00A14534">
        <w:rPr>
          <w:rFonts w:ascii="Arial" w:hAnsi="Arial" w:cs="Arial"/>
        </w:rPr>
        <w:t>by such offending and how it relates to the patient’s mental disorder when making any deci</w:t>
      </w:r>
      <w:r w:rsidRPr="00A14534">
        <w:rPr>
          <w:rFonts w:ascii="Arial" w:hAnsi="Arial" w:cs="Arial"/>
        </w:rPr>
        <w:t>sion on discharge</w:t>
      </w:r>
      <w:r w:rsidR="0005444C" w:rsidRPr="00A14534">
        <w:rPr>
          <w:rFonts w:ascii="Arial" w:hAnsi="Arial" w:cs="Arial"/>
        </w:rPr>
        <w:t xml:space="preserve"> and </w:t>
      </w:r>
      <w:r w:rsidR="00BE5D7A">
        <w:rPr>
          <w:rFonts w:ascii="Arial" w:hAnsi="Arial" w:cs="Arial"/>
        </w:rPr>
        <w:t>may</w:t>
      </w:r>
      <w:r w:rsidR="0005444C" w:rsidRPr="00A14534">
        <w:rPr>
          <w:rFonts w:ascii="Arial" w:hAnsi="Arial" w:cs="Arial"/>
        </w:rPr>
        <w:t xml:space="preserve"> notify Counter</w:t>
      </w:r>
      <w:r w:rsidR="00B958AC">
        <w:rPr>
          <w:rFonts w:ascii="Arial" w:hAnsi="Arial" w:cs="Arial"/>
        </w:rPr>
        <w:t>-</w:t>
      </w:r>
      <w:r w:rsidR="0005444C" w:rsidRPr="00A14534">
        <w:rPr>
          <w:rFonts w:ascii="Arial" w:hAnsi="Arial" w:cs="Arial"/>
        </w:rPr>
        <w:t>T</w:t>
      </w:r>
      <w:r w:rsidR="00A14534" w:rsidRPr="00A14534">
        <w:rPr>
          <w:rFonts w:ascii="Arial" w:hAnsi="Arial" w:cs="Arial"/>
        </w:rPr>
        <w:t>erroris</w:t>
      </w:r>
      <w:r w:rsidR="00B958AC">
        <w:rPr>
          <w:rFonts w:ascii="Arial" w:hAnsi="Arial" w:cs="Arial"/>
        </w:rPr>
        <w:t>m</w:t>
      </w:r>
      <w:r w:rsidR="0005444C" w:rsidRPr="00A14534">
        <w:rPr>
          <w:rFonts w:ascii="Arial" w:hAnsi="Arial" w:cs="Arial"/>
        </w:rPr>
        <w:t xml:space="preserve"> policing colleagues</w:t>
      </w:r>
      <w:r w:rsidR="00A72E84">
        <w:rPr>
          <w:rFonts w:ascii="Arial" w:hAnsi="Arial" w:cs="Arial"/>
        </w:rPr>
        <w:t xml:space="preserve"> and partner agencies</w:t>
      </w:r>
      <w:r w:rsidR="0005444C" w:rsidRPr="00A14534">
        <w:rPr>
          <w:rFonts w:ascii="Arial" w:hAnsi="Arial" w:cs="Arial"/>
        </w:rPr>
        <w:t xml:space="preserve"> of </w:t>
      </w:r>
      <w:r w:rsidR="00A14534" w:rsidRPr="00A14534">
        <w:rPr>
          <w:rFonts w:ascii="Arial" w:hAnsi="Arial" w:cs="Arial"/>
        </w:rPr>
        <w:t>the</w:t>
      </w:r>
      <w:r w:rsidR="0005444C" w:rsidRPr="00A14534">
        <w:rPr>
          <w:rFonts w:ascii="Arial" w:hAnsi="Arial" w:cs="Arial"/>
        </w:rPr>
        <w:t xml:space="preserve"> application</w:t>
      </w:r>
      <w:r w:rsidR="00A14534" w:rsidRPr="00A14534">
        <w:rPr>
          <w:rFonts w:ascii="Arial" w:hAnsi="Arial" w:cs="Arial"/>
        </w:rPr>
        <w:t>.</w:t>
      </w:r>
    </w:p>
    <w:p w14:paraId="781A34D3" w14:textId="77777777" w:rsidR="00901137" w:rsidRPr="00763060" w:rsidRDefault="00901137" w:rsidP="00763060">
      <w:pPr>
        <w:pStyle w:val="NoSpacing"/>
        <w:jc w:val="both"/>
        <w:rPr>
          <w:rFonts w:ascii="Arial" w:hAnsi="Arial" w:cs="Arial"/>
        </w:rPr>
      </w:pPr>
    </w:p>
    <w:p w14:paraId="0847C4F7" w14:textId="1CB66D30" w:rsidR="00DD4792" w:rsidRPr="004F1077" w:rsidRDefault="00DD4792" w:rsidP="00156670">
      <w:pPr>
        <w:pStyle w:val="NoSpacing"/>
        <w:numPr>
          <w:ilvl w:val="0"/>
          <w:numId w:val="16"/>
        </w:numPr>
        <w:jc w:val="both"/>
        <w:rPr>
          <w:rFonts w:ascii="Arial" w:hAnsi="Arial" w:cs="Arial"/>
          <w:u w:val="single"/>
          <w:lang w:eastAsia="en-GB"/>
        </w:rPr>
      </w:pPr>
      <w:bookmarkStart w:id="4" w:name="Applications"/>
      <w:r w:rsidRPr="004F1077">
        <w:rPr>
          <w:rFonts w:ascii="Arial" w:hAnsi="Arial" w:cs="Arial"/>
          <w:u w:val="single"/>
          <w:lang w:eastAsia="en-GB"/>
        </w:rPr>
        <w:t xml:space="preserve">Applications for </w:t>
      </w:r>
      <w:r w:rsidR="007B1654" w:rsidRPr="004F1077">
        <w:rPr>
          <w:rFonts w:ascii="Arial" w:hAnsi="Arial" w:cs="Arial"/>
          <w:u w:val="single"/>
          <w:lang w:eastAsia="en-GB"/>
        </w:rPr>
        <w:t>Discharge</w:t>
      </w:r>
      <w:r w:rsidRPr="004F1077">
        <w:rPr>
          <w:rFonts w:ascii="Arial" w:hAnsi="Arial" w:cs="Arial"/>
          <w:u w:val="single"/>
          <w:lang w:eastAsia="en-GB"/>
        </w:rPr>
        <w:t xml:space="preserve"> </w:t>
      </w:r>
    </w:p>
    <w:bookmarkEnd w:id="4"/>
    <w:p w14:paraId="5EDD2996" w14:textId="77777777" w:rsidR="00DD4792" w:rsidRPr="00763060" w:rsidRDefault="00DD4792" w:rsidP="00763060">
      <w:pPr>
        <w:pStyle w:val="NoSpacing"/>
        <w:jc w:val="both"/>
        <w:rPr>
          <w:rFonts w:ascii="Arial" w:hAnsi="Arial" w:cs="Arial"/>
          <w:lang w:eastAsia="en-GB"/>
        </w:rPr>
      </w:pPr>
    </w:p>
    <w:p w14:paraId="347B0A23" w14:textId="27150179" w:rsidR="00DD4792" w:rsidRPr="00763060" w:rsidRDefault="00156670" w:rsidP="00763060">
      <w:pPr>
        <w:pStyle w:val="NoSpacing"/>
        <w:jc w:val="both"/>
        <w:rPr>
          <w:rFonts w:ascii="Arial" w:hAnsi="Arial" w:cs="Arial"/>
          <w:lang w:eastAsia="en-GB"/>
        </w:rPr>
      </w:pPr>
      <w:r>
        <w:rPr>
          <w:rFonts w:ascii="Arial" w:hAnsi="Arial" w:cs="Arial"/>
          <w:lang w:eastAsia="en-GB"/>
        </w:rPr>
        <w:t>5.1</w:t>
      </w:r>
      <w:r>
        <w:rPr>
          <w:rFonts w:ascii="Arial" w:hAnsi="Arial" w:cs="Arial"/>
          <w:lang w:eastAsia="en-GB"/>
        </w:rPr>
        <w:tab/>
      </w:r>
      <w:r w:rsidR="00DD4792" w:rsidRPr="00763060">
        <w:rPr>
          <w:rFonts w:ascii="Arial" w:hAnsi="Arial" w:cs="Arial"/>
          <w:lang w:eastAsia="en-GB"/>
        </w:rPr>
        <w:t>The SoS accepts that the mental health of the majority of patients will, at some stage in their treatment, improve to the point where the risk they pose is considered sufficiently low to enable the</w:t>
      </w:r>
      <w:r w:rsidR="001337AE">
        <w:rPr>
          <w:rFonts w:ascii="Arial" w:hAnsi="Arial" w:cs="Arial"/>
          <w:lang w:eastAsia="en-GB"/>
        </w:rPr>
        <w:t>m to be discharge</w:t>
      </w:r>
      <w:r w:rsidR="00203016">
        <w:rPr>
          <w:rFonts w:ascii="Arial" w:hAnsi="Arial" w:cs="Arial"/>
          <w:lang w:eastAsia="en-GB"/>
        </w:rPr>
        <w:t>d</w:t>
      </w:r>
      <w:r w:rsidR="001337AE">
        <w:rPr>
          <w:rFonts w:ascii="Arial" w:hAnsi="Arial" w:cs="Arial"/>
          <w:lang w:eastAsia="en-GB"/>
        </w:rPr>
        <w:t xml:space="preserve"> safely into the community</w:t>
      </w:r>
      <w:r w:rsidR="003A2C08">
        <w:rPr>
          <w:rFonts w:ascii="Arial" w:hAnsi="Arial" w:cs="Arial"/>
          <w:lang w:eastAsia="en-GB"/>
        </w:rPr>
        <w:t xml:space="preserve"> (</w:t>
      </w:r>
      <w:r w:rsidR="00DD4792" w:rsidRPr="00763060">
        <w:rPr>
          <w:rFonts w:ascii="Arial" w:hAnsi="Arial" w:cs="Arial"/>
          <w:lang w:eastAsia="en-GB"/>
        </w:rPr>
        <w:t>with conditions in place).</w:t>
      </w:r>
      <w:r w:rsidR="00E27B77">
        <w:rPr>
          <w:rFonts w:ascii="Arial" w:hAnsi="Arial" w:cs="Arial"/>
          <w:lang w:eastAsia="en-GB"/>
        </w:rPr>
        <w:t xml:space="preserve"> </w:t>
      </w:r>
    </w:p>
    <w:p w14:paraId="05C0BBE1" w14:textId="77777777" w:rsidR="00C42B34" w:rsidRDefault="00C42B34" w:rsidP="00763060">
      <w:pPr>
        <w:pStyle w:val="NoSpacing"/>
        <w:jc w:val="both"/>
        <w:rPr>
          <w:rFonts w:ascii="Arial" w:hAnsi="Arial" w:cs="Arial"/>
          <w:i/>
        </w:rPr>
      </w:pPr>
    </w:p>
    <w:p w14:paraId="6F40BC80" w14:textId="72140996" w:rsidR="00DD4792" w:rsidRPr="00763060" w:rsidRDefault="00DD4792" w:rsidP="00763060">
      <w:pPr>
        <w:pStyle w:val="NoSpacing"/>
        <w:jc w:val="both"/>
        <w:rPr>
          <w:rFonts w:ascii="Arial" w:hAnsi="Arial" w:cs="Arial"/>
          <w:i/>
        </w:rPr>
      </w:pPr>
      <w:r w:rsidRPr="00763060">
        <w:rPr>
          <w:rFonts w:ascii="Arial" w:hAnsi="Arial" w:cs="Arial"/>
          <w:i/>
        </w:rPr>
        <w:t>The Standard Application Form</w:t>
      </w:r>
    </w:p>
    <w:p w14:paraId="218C67E6" w14:textId="77777777" w:rsidR="00DD4792" w:rsidRPr="00763060" w:rsidRDefault="00DD4792" w:rsidP="00763060">
      <w:pPr>
        <w:pStyle w:val="NoSpacing"/>
        <w:jc w:val="both"/>
        <w:rPr>
          <w:rFonts w:ascii="Arial" w:hAnsi="Arial" w:cs="Arial"/>
        </w:rPr>
      </w:pPr>
    </w:p>
    <w:p w14:paraId="227A9D86" w14:textId="35FD5DC0" w:rsidR="00DD4792" w:rsidRPr="00763060" w:rsidRDefault="00156670" w:rsidP="00763060">
      <w:pPr>
        <w:pStyle w:val="NoSpacing"/>
        <w:jc w:val="both"/>
        <w:rPr>
          <w:rFonts w:ascii="Arial" w:hAnsi="Arial" w:cs="Arial"/>
        </w:rPr>
      </w:pPr>
      <w:r>
        <w:rPr>
          <w:rFonts w:ascii="Arial" w:hAnsi="Arial" w:cs="Arial"/>
        </w:rPr>
        <w:t>5.2</w:t>
      </w:r>
      <w:r>
        <w:rPr>
          <w:rFonts w:ascii="Arial" w:hAnsi="Arial" w:cs="Arial"/>
        </w:rPr>
        <w:tab/>
      </w:r>
      <w:r w:rsidR="00DD4792" w:rsidRPr="00763060">
        <w:rPr>
          <w:rFonts w:ascii="Arial" w:hAnsi="Arial" w:cs="Arial"/>
        </w:rPr>
        <w:t xml:space="preserve">To help ensure that the SoS receives all of the information necessary to take a decision, an </w:t>
      </w:r>
      <w:hyperlink r:id="rId28" w:history="1">
        <w:r w:rsidR="00B876CF" w:rsidRPr="00763060">
          <w:rPr>
            <w:rStyle w:val="Hyperlink"/>
            <w:rFonts w:ascii="Arial" w:hAnsi="Arial" w:cs="Arial"/>
            <w:color w:val="7030A0"/>
          </w:rPr>
          <w:t>application form</w:t>
        </w:r>
      </w:hyperlink>
      <w:r w:rsidR="00B876CF" w:rsidRPr="00763060">
        <w:rPr>
          <w:rFonts w:ascii="Arial" w:hAnsi="Arial" w:cs="Arial"/>
        </w:rPr>
        <w:t xml:space="preserve"> </w:t>
      </w:r>
      <w:r w:rsidR="00DD4792" w:rsidRPr="00763060">
        <w:rPr>
          <w:rFonts w:ascii="Arial" w:hAnsi="Arial" w:cs="Arial"/>
        </w:rPr>
        <w:t xml:space="preserve">for </w:t>
      </w:r>
      <w:r w:rsidR="00393873" w:rsidRPr="00763060">
        <w:rPr>
          <w:rFonts w:ascii="Arial" w:hAnsi="Arial" w:cs="Arial"/>
        </w:rPr>
        <w:t>discharge</w:t>
      </w:r>
      <w:r w:rsidR="00DD4792" w:rsidRPr="00763060">
        <w:rPr>
          <w:rFonts w:ascii="Arial" w:hAnsi="Arial" w:cs="Arial"/>
        </w:rPr>
        <w:t xml:space="preserve"> is available to RCs to use. </w:t>
      </w:r>
    </w:p>
    <w:p w14:paraId="101A7A80" w14:textId="77777777" w:rsidR="00DD4792" w:rsidRPr="00763060" w:rsidRDefault="00DD4792" w:rsidP="00763060">
      <w:pPr>
        <w:pStyle w:val="NoSpacing"/>
        <w:jc w:val="both"/>
        <w:rPr>
          <w:rFonts w:ascii="Arial" w:hAnsi="Arial" w:cs="Arial"/>
          <w:lang w:eastAsia="en-GB"/>
        </w:rPr>
      </w:pPr>
    </w:p>
    <w:p w14:paraId="14519E39" w14:textId="171033ED" w:rsidR="00DD4792" w:rsidRPr="00763060" w:rsidRDefault="00DD4792" w:rsidP="00763060">
      <w:pPr>
        <w:pStyle w:val="NoSpacing"/>
        <w:jc w:val="both"/>
        <w:rPr>
          <w:rFonts w:ascii="Arial" w:hAnsi="Arial" w:cs="Arial"/>
          <w:i/>
          <w:iCs/>
          <w:lang w:eastAsia="en-GB"/>
        </w:rPr>
      </w:pPr>
      <w:r w:rsidRPr="00763060">
        <w:rPr>
          <w:rFonts w:ascii="Arial" w:hAnsi="Arial" w:cs="Arial"/>
          <w:i/>
          <w:iCs/>
          <w:lang w:eastAsia="en-GB"/>
        </w:rPr>
        <w:t>Risk Assessment</w:t>
      </w:r>
    </w:p>
    <w:p w14:paraId="63A4C025" w14:textId="77777777" w:rsidR="00DD4792" w:rsidRPr="00763060" w:rsidRDefault="00DD4792" w:rsidP="00763060">
      <w:pPr>
        <w:pStyle w:val="NoSpacing"/>
        <w:jc w:val="both"/>
        <w:rPr>
          <w:rFonts w:ascii="Arial" w:hAnsi="Arial" w:cs="Arial"/>
          <w:lang w:eastAsia="en-GB"/>
        </w:rPr>
      </w:pPr>
    </w:p>
    <w:p w14:paraId="5B94E944" w14:textId="3D8FF572" w:rsidR="004F1077" w:rsidRDefault="00156670" w:rsidP="00763060">
      <w:pPr>
        <w:pStyle w:val="NoSpacing"/>
        <w:jc w:val="both"/>
        <w:rPr>
          <w:rFonts w:ascii="Arial" w:hAnsi="Arial" w:cs="Arial"/>
        </w:rPr>
      </w:pPr>
      <w:r>
        <w:rPr>
          <w:rFonts w:ascii="Arial" w:hAnsi="Arial" w:cs="Arial"/>
          <w:lang w:eastAsia="en-GB"/>
        </w:rPr>
        <w:t>5.3</w:t>
      </w:r>
      <w:r w:rsidR="0074737C">
        <w:rPr>
          <w:rFonts w:ascii="Arial" w:hAnsi="Arial" w:cs="Arial"/>
          <w:lang w:eastAsia="en-GB"/>
        </w:rPr>
        <w:tab/>
      </w:r>
      <w:r w:rsidR="00DD4792" w:rsidRPr="00763060">
        <w:rPr>
          <w:rFonts w:ascii="Arial" w:hAnsi="Arial" w:cs="Arial"/>
          <w:lang w:eastAsia="en-GB"/>
        </w:rPr>
        <w:t xml:space="preserve">Officials within MHCS take decisions on applications </w:t>
      </w:r>
      <w:r w:rsidR="00DD4792" w:rsidRPr="00763060">
        <w:rPr>
          <w:rFonts w:ascii="Arial" w:hAnsi="Arial" w:cs="Arial"/>
        </w:rPr>
        <w:t xml:space="preserve">following a risk assessment of the proposal. This system helps ensure that the SoS makes decisions which </w:t>
      </w:r>
      <w:r w:rsidR="00364B87">
        <w:rPr>
          <w:rFonts w:ascii="Arial" w:hAnsi="Arial" w:cs="Arial"/>
        </w:rPr>
        <w:t>reflect</w:t>
      </w:r>
      <w:r w:rsidR="00364B87" w:rsidRPr="00763060">
        <w:rPr>
          <w:rFonts w:ascii="Arial" w:hAnsi="Arial" w:cs="Arial"/>
        </w:rPr>
        <w:t xml:space="preserve"> </w:t>
      </w:r>
      <w:r w:rsidR="00DD4792" w:rsidRPr="00763060">
        <w:rPr>
          <w:rFonts w:ascii="Arial" w:hAnsi="Arial" w:cs="Arial"/>
        </w:rPr>
        <w:t xml:space="preserve">the need to protect the public, whilst recognising the rights of patients to receive treatment for their mental disorders under the MHA. </w:t>
      </w:r>
    </w:p>
    <w:p w14:paraId="106A30F3" w14:textId="77777777" w:rsidR="004F1077" w:rsidRDefault="004F1077" w:rsidP="00763060">
      <w:pPr>
        <w:pStyle w:val="NoSpacing"/>
        <w:jc w:val="both"/>
        <w:rPr>
          <w:rFonts w:ascii="Arial" w:hAnsi="Arial" w:cs="Arial"/>
        </w:rPr>
      </w:pPr>
    </w:p>
    <w:p w14:paraId="7A2330BB" w14:textId="321CF1A6" w:rsidR="00DD4792" w:rsidRPr="00FE1D79" w:rsidRDefault="00DD4792" w:rsidP="0074737C">
      <w:pPr>
        <w:pStyle w:val="NoSpacing"/>
        <w:numPr>
          <w:ilvl w:val="0"/>
          <w:numId w:val="16"/>
        </w:numPr>
        <w:jc w:val="both"/>
        <w:rPr>
          <w:rFonts w:ascii="Arial" w:hAnsi="Arial" w:cs="Arial"/>
          <w:u w:val="single"/>
        </w:rPr>
      </w:pPr>
      <w:bookmarkStart w:id="5" w:name="Types2"/>
      <w:r w:rsidRPr="00FE1D79">
        <w:rPr>
          <w:rFonts w:ascii="Arial" w:hAnsi="Arial" w:cs="Arial"/>
          <w:u w:val="single"/>
        </w:rPr>
        <w:t xml:space="preserve">Types of </w:t>
      </w:r>
      <w:r w:rsidR="00322D3C" w:rsidRPr="00FE1D79">
        <w:rPr>
          <w:rFonts w:ascii="Arial" w:hAnsi="Arial" w:cs="Arial"/>
          <w:u w:val="single"/>
        </w:rPr>
        <w:t>Discharge</w:t>
      </w:r>
    </w:p>
    <w:bookmarkEnd w:id="5"/>
    <w:p w14:paraId="773D76C2" w14:textId="77777777" w:rsidR="00CE503F" w:rsidRPr="00FE1D79" w:rsidRDefault="00CE503F" w:rsidP="00763060">
      <w:pPr>
        <w:pStyle w:val="NoSpacing"/>
        <w:jc w:val="both"/>
        <w:rPr>
          <w:rFonts w:ascii="Arial" w:hAnsi="Arial" w:cs="Arial"/>
          <w:iCs/>
        </w:rPr>
      </w:pPr>
    </w:p>
    <w:p w14:paraId="0E72CAAD" w14:textId="2136B6F8" w:rsidR="32AE27AD" w:rsidRDefault="0074737C" w:rsidP="00C87A2A">
      <w:pPr>
        <w:pStyle w:val="NoSpacing"/>
        <w:jc w:val="both"/>
        <w:rPr>
          <w:rFonts w:ascii="Arial" w:eastAsia="Calibri" w:hAnsi="Arial" w:cs="Arial"/>
        </w:rPr>
      </w:pPr>
      <w:r>
        <w:rPr>
          <w:rFonts w:ascii="Arial" w:hAnsi="Arial" w:cs="Arial"/>
        </w:rPr>
        <w:t>6.1</w:t>
      </w:r>
      <w:r>
        <w:rPr>
          <w:rFonts w:ascii="Arial" w:hAnsi="Arial" w:cs="Arial"/>
        </w:rPr>
        <w:tab/>
      </w:r>
      <w:r w:rsidR="003B11B7" w:rsidRPr="0034160F">
        <w:rPr>
          <w:rFonts w:ascii="Arial" w:hAnsi="Arial" w:cs="Arial"/>
        </w:rPr>
        <w:t xml:space="preserve">The power of the Secretary of State to discharge contained in section 42 of the </w:t>
      </w:r>
      <w:r w:rsidR="003B11B7">
        <w:rPr>
          <w:rFonts w:ascii="Arial" w:hAnsi="Arial" w:cs="Arial"/>
        </w:rPr>
        <w:t xml:space="preserve">MHA </w:t>
      </w:r>
      <w:r w:rsidR="003B11B7" w:rsidRPr="0034160F">
        <w:rPr>
          <w:rFonts w:ascii="Arial" w:hAnsi="Arial" w:cs="Arial"/>
        </w:rPr>
        <w:t xml:space="preserve">is very broad. </w:t>
      </w:r>
      <w:r w:rsidR="003B11B7">
        <w:rPr>
          <w:rFonts w:ascii="Arial" w:hAnsi="Arial" w:cs="Arial"/>
        </w:rPr>
        <w:t xml:space="preserve">Section 42(2) </w:t>
      </w:r>
      <w:r w:rsidR="008C1560">
        <w:rPr>
          <w:rFonts w:ascii="Arial" w:hAnsi="Arial" w:cs="Arial"/>
        </w:rPr>
        <w:t>permits d</w:t>
      </w:r>
      <w:r w:rsidR="003B11B7" w:rsidRPr="00ED41E8">
        <w:rPr>
          <w:rFonts w:ascii="Arial" w:hAnsi="Arial" w:cs="Arial"/>
        </w:rPr>
        <w:t xml:space="preserve">iscretionary absolute </w:t>
      </w:r>
      <w:r w:rsidR="008C1560">
        <w:rPr>
          <w:rFonts w:ascii="Arial" w:hAnsi="Arial" w:cs="Arial"/>
        </w:rPr>
        <w:t xml:space="preserve">or conditional </w:t>
      </w:r>
      <w:r w:rsidR="003B11B7" w:rsidRPr="00ED41E8">
        <w:rPr>
          <w:rFonts w:ascii="Arial" w:hAnsi="Arial" w:cs="Arial"/>
        </w:rPr>
        <w:t xml:space="preserve">discharge where the SoS thinks fit. </w:t>
      </w:r>
      <w:r w:rsidR="0096737D" w:rsidRPr="00ED41E8">
        <w:rPr>
          <w:rFonts w:ascii="Arial" w:hAnsi="Arial" w:cs="Arial"/>
        </w:rPr>
        <w:t xml:space="preserve">As </w:t>
      </w:r>
      <w:r w:rsidR="0026235D">
        <w:rPr>
          <w:rFonts w:ascii="Arial" w:hAnsi="Arial" w:cs="Arial"/>
        </w:rPr>
        <w:t xml:space="preserve">explained </w:t>
      </w:r>
      <w:r w:rsidR="0096737D" w:rsidRPr="00ED41E8">
        <w:rPr>
          <w:rFonts w:ascii="Arial" w:hAnsi="Arial" w:cs="Arial"/>
        </w:rPr>
        <w:t>above, these powers must</w:t>
      </w:r>
      <w:r w:rsidR="00C94A3B">
        <w:rPr>
          <w:rFonts w:ascii="Arial" w:hAnsi="Arial" w:cs="Arial"/>
        </w:rPr>
        <w:t xml:space="preserve"> </w:t>
      </w:r>
      <w:r w:rsidR="0026235D" w:rsidRPr="00ED41E8">
        <w:rPr>
          <w:rFonts w:ascii="Arial" w:hAnsi="Arial" w:cs="Arial"/>
        </w:rPr>
        <w:t xml:space="preserve">only be exercised with regard to </w:t>
      </w:r>
      <w:r w:rsidR="00C94A3B">
        <w:rPr>
          <w:rFonts w:ascii="Arial" w:hAnsi="Arial" w:cs="Arial"/>
        </w:rPr>
        <w:t xml:space="preserve">a range of factors which are set out </w:t>
      </w:r>
      <w:r w:rsidR="00C6403D">
        <w:rPr>
          <w:rFonts w:ascii="Arial" w:hAnsi="Arial" w:cs="Arial"/>
        </w:rPr>
        <w:t>in this policy</w:t>
      </w:r>
      <w:r w:rsidR="00C94A3B">
        <w:rPr>
          <w:rFonts w:ascii="Arial" w:hAnsi="Arial" w:cs="Arial"/>
        </w:rPr>
        <w:t xml:space="preserve">, but </w:t>
      </w:r>
      <w:r w:rsidR="00C6403D">
        <w:rPr>
          <w:rFonts w:ascii="Arial" w:hAnsi="Arial" w:cs="Arial"/>
        </w:rPr>
        <w:t xml:space="preserve">these </w:t>
      </w:r>
      <w:r w:rsidR="000847F2">
        <w:rPr>
          <w:rFonts w:ascii="Arial" w:hAnsi="Arial" w:cs="Arial"/>
        </w:rPr>
        <w:t xml:space="preserve">criteria </w:t>
      </w:r>
      <w:r w:rsidR="00C94A3B">
        <w:rPr>
          <w:rFonts w:ascii="Arial" w:hAnsi="Arial" w:cs="Arial"/>
        </w:rPr>
        <w:t>are not exhaustive</w:t>
      </w:r>
      <w:r w:rsidR="0026235D" w:rsidRPr="00ED41E8">
        <w:rPr>
          <w:rFonts w:ascii="Arial" w:hAnsi="Arial" w:cs="Arial"/>
        </w:rPr>
        <w:t xml:space="preserve">. </w:t>
      </w:r>
      <w:r w:rsidR="00CE503F" w:rsidRPr="3C4CC08C">
        <w:rPr>
          <w:rFonts w:ascii="Arial" w:hAnsi="Arial" w:cs="Arial"/>
        </w:rPr>
        <w:t xml:space="preserve">It should initially be noted that the SoS is not bound by the criteria set out in </w:t>
      </w:r>
      <w:r w:rsidR="002D769C">
        <w:rPr>
          <w:rFonts w:ascii="Arial" w:hAnsi="Arial" w:cs="Arial"/>
        </w:rPr>
        <w:t>section</w:t>
      </w:r>
      <w:r w:rsidR="002D769C" w:rsidRPr="3C4CC08C">
        <w:rPr>
          <w:rFonts w:ascii="Arial" w:hAnsi="Arial" w:cs="Arial"/>
        </w:rPr>
        <w:t xml:space="preserve"> </w:t>
      </w:r>
      <w:r w:rsidR="00C4705F">
        <w:rPr>
          <w:rFonts w:ascii="Arial" w:hAnsi="Arial" w:cs="Arial"/>
        </w:rPr>
        <w:t xml:space="preserve">72 or </w:t>
      </w:r>
      <w:r w:rsidR="00CE503F" w:rsidRPr="3C4CC08C">
        <w:rPr>
          <w:rFonts w:ascii="Arial" w:hAnsi="Arial" w:cs="Arial"/>
        </w:rPr>
        <w:t>73 of</w:t>
      </w:r>
      <w:r w:rsidR="001A0912">
        <w:rPr>
          <w:rFonts w:ascii="Arial" w:hAnsi="Arial" w:cs="Arial"/>
        </w:rPr>
        <w:t xml:space="preserve"> the</w:t>
      </w:r>
      <w:r w:rsidR="00CE503F" w:rsidRPr="3C4CC08C">
        <w:rPr>
          <w:rFonts w:ascii="Arial" w:hAnsi="Arial" w:cs="Arial"/>
        </w:rPr>
        <w:t xml:space="preserve"> MHA</w:t>
      </w:r>
      <w:r w:rsidR="1D3223BE" w:rsidRPr="3C4CC08C">
        <w:rPr>
          <w:rFonts w:ascii="Arial" w:hAnsi="Arial" w:cs="Arial"/>
        </w:rPr>
        <w:t xml:space="preserve"> (</w:t>
      </w:r>
      <w:r w:rsidR="00E76739">
        <w:rPr>
          <w:rFonts w:ascii="Arial" w:hAnsi="Arial" w:cs="Arial"/>
        </w:rPr>
        <w:t>T</w:t>
      </w:r>
      <w:r w:rsidR="1D3223BE" w:rsidRPr="3C4CC08C">
        <w:rPr>
          <w:rFonts w:ascii="Arial" w:hAnsi="Arial" w:cs="Arial"/>
        </w:rPr>
        <w:t>ribunal powers to discharge restricted patients)</w:t>
      </w:r>
      <w:r w:rsidR="008C1560">
        <w:rPr>
          <w:rFonts w:ascii="Arial" w:hAnsi="Arial" w:cs="Arial"/>
        </w:rPr>
        <w:t xml:space="preserve"> when exercising the power under section 42,</w:t>
      </w:r>
      <w:r w:rsidR="00CE503F" w:rsidRPr="3C4CC08C">
        <w:rPr>
          <w:rFonts w:ascii="Arial" w:hAnsi="Arial" w:cs="Arial"/>
        </w:rPr>
        <w:t xml:space="preserve"> </w:t>
      </w:r>
      <w:r w:rsidR="00ED295B">
        <w:rPr>
          <w:rFonts w:ascii="Arial" w:hAnsi="Arial" w:cs="Arial"/>
        </w:rPr>
        <w:t>h</w:t>
      </w:r>
      <w:r w:rsidR="00CE503F" w:rsidRPr="3C4CC08C">
        <w:rPr>
          <w:rFonts w:ascii="Arial" w:hAnsi="Arial" w:cs="Arial"/>
        </w:rPr>
        <w:t>owever, due regard to those criteria</w:t>
      </w:r>
      <w:r w:rsidR="009B0990">
        <w:rPr>
          <w:rFonts w:ascii="Arial" w:hAnsi="Arial" w:cs="Arial"/>
        </w:rPr>
        <w:t xml:space="preserve"> will be</w:t>
      </w:r>
      <w:r w:rsidR="00B006CE">
        <w:rPr>
          <w:rFonts w:ascii="Arial" w:hAnsi="Arial" w:cs="Arial"/>
        </w:rPr>
        <w:t xml:space="preserve"> given</w:t>
      </w:r>
      <w:r w:rsidR="00CE503F" w:rsidRPr="3C4CC08C">
        <w:rPr>
          <w:rFonts w:ascii="Arial" w:hAnsi="Arial" w:cs="Arial"/>
        </w:rPr>
        <w:t xml:space="preserve"> when considering applications</w:t>
      </w:r>
      <w:r w:rsidR="001B366C" w:rsidRPr="3C4CC08C">
        <w:rPr>
          <w:rFonts w:ascii="Arial" w:hAnsi="Arial" w:cs="Arial"/>
        </w:rPr>
        <w:t>.</w:t>
      </w:r>
      <w:r w:rsidR="00613B73">
        <w:rPr>
          <w:rFonts w:ascii="Arial" w:hAnsi="Arial" w:cs="Arial"/>
        </w:rPr>
        <w:t xml:space="preserve"> It should be noted that applications or referrals to the Tribunal can run in parallel</w:t>
      </w:r>
      <w:r w:rsidR="0060753D">
        <w:rPr>
          <w:rFonts w:ascii="Arial" w:hAnsi="Arial" w:cs="Arial"/>
        </w:rPr>
        <w:t xml:space="preserve"> but the first decision, if to discharge, will take </w:t>
      </w:r>
      <w:r w:rsidR="00773320">
        <w:rPr>
          <w:rFonts w:ascii="Arial" w:hAnsi="Arial" w:cs="Arial"/>
        </w:rPr>
        <w:t>priority</w:t>
      </w:r>
      <w:r w:rsidR="0060753D">
        <w:rPr>
          <w:rFonts w:ascii="Arial" w:hAnsi="Arial" w:cs="Arial"/>
        </w:rPr>
        <w:t xml:space="preserve"> and the </w:t>
      </w:r>
      <w:r w:rsidR="00773320">
        <w:rPr>
          <w:rFonts w:ascii="Arial" w:hAnsi="Arial" w:cs="Arial"/>
        </w:rPr>
        <w:t>other application will automatically lapse.</w:t>
      </w:r>
      <w:r w:rsidR="00094FBE">
        <w:rPr>
          <w:rFonts w:ascii="Arial" w:hAnsi="Arial" w:cs="Arial"/>
        </w:rPr>
        <w:t xml:space="preserve"> </w:t>
      </w:r>
      <w:r w:rsidR="00ED41E8">
        <w:rPr>
          <w:rFonts w:ascii="Arial" w:eastAsia="Calibri" w:hAnsi="Arial" w:cs="Arial"/>
        </w:rPr>
        <w:t>The</w:t>
      </w:r>
      <w:r w:rsidR="00C94A3B">
        <w:rPr>
          <w:rFonts w:ascii="Arial" w:eastAsia="Calibri" w:hAnsi="Arial" w:cs="Arial"/>
        </w:rPr>
        <w:t xml:space="preserve"> SoS</w:t>
      </w:r>
      <w:r w:rsidR="00B07A98">
        <w:rPr>
          <w:rFonts w:ascii="Arial" w:eastAsia="Calibri" w:hAnsi="Arial" w:cs="Arial"/>
        </w:rPr>
        <w:t xml:space="preserve"> will </w:t>
      </w:r>
      <w:r w:rsidR="00A230B1">
        <w:rPr>
          <w:rFonts w:ascii="Arial" w:eastAsia="Calibri" w:hAnsi="Arial" w:cs="Arial"/>
        </w:rPr>
        <w:t xml:space="preserve">also consider other circumstances where </w:t>
      </w:r>
      <w:r w:rsidR="0039286E">
        <w:rPr>
          <w:rFonts w:ascii="Arial" w:eastAsia="Calibri" w:hAnsi="Arial" w:cs="Arial"/>
        </w:rPr>
        <w:t>they may think fit</w:t>
      </w:r>
      <w:r w:rsidR="00A230B1">
        <w:rPr>
          <w:rFonts w:ascii="Arial" w:eastAsia="Calibri" w:hAnsi="Arial" w:cs="Arial"/>
        </w:rPr>
        <w:t xml:space="preserve"> to discharge a patient.</w:t>
      </w:r>
    </w:p>
    <w:p w14:paraId="604D40F2" w14:textId="77777777" w:rsidR="00CE503F" w:rsidRPr="00FE1D79" w:rsidRDefault="00CE503F" w:rsidP="00763060">
      <w:pPr>
        <w:pStyle w:val="NoSpacing"/>
        <w:jc w:val="both"/>
        <w:rPr>
          <w:rFonts w:ascii="Arial" w:hAnsi="Arial" w:cs="Arial"/>
          <w:i/>
        </w:rPr>
      </w:pPr>
    </w:p>
    <w:p w14:paraId="1AFFB992" w14:textId="44CBFA47" w:rsidR="00322D3C" w:rsidRPr="00FE1D79" w:rsidRDefault="00322D3C" w:rsidP="00763060">
      <w:pPr>
        <w:pStyle w:val="NoSpacing"/>
        <w:jc w:val="both"/>
        <w:rPr>
          <w:rFonts w:ascii="Arial" w:hAnsi="Arial" w:cs="Arial"/>
          <w:i/>
        </w:rPr>
      </w:pPr>
      <w:r w:rsidRPr="00FE1D79">
        <w:rPr>
          <w:rFonts w:ascii="Arial" w:hAnsi="Arial" w:cs="Arial"/>
          <w:i/>
        </w:rPr>
        <w:t>Conditional</w:t>
      </w:r>
    </w:p>
    <w:p w14:paraId="52BB93DE" w14:textId="77777777" w:rsidR="000F4059" w:rsidRPr="00FE1D79" w:rsidRDefault="000F4059" w:rsidP="00763060">
      <w:pPr>
        <w:pStyle w:val="NoSpacing"/>
        <w:jc w:val="both"/>
        <w:rPr>
          <w:rFonts w:ascii="Arial" w:hAnsi="Arial" w:cs="Arial"/>
          <w:i/>
        </w:rPr>
      </w:pPr>
    </w:p>
    <w:p w14:paraId="0E5C82A6" w14:textId="16B13398" w:rsidR="00B0162F" w:rsidRPr="00FE1D79" w:rsidRDefault="0074737C" w:rsidP="00763060">
      <w:pPr>
        <w:pStyle w:val="NoSpacing"/>
        <w:jc w:val="both"/>
        <w:rPr>
          <w:rFonts w:ascii="Arial" w:hAnsi="Arial" w:cs="Arial"/>
          <w:iCs/>
        </w:rPr>
      </w:pPr>
      <w:r>
        <w:rPr>
          <w:rFonts w:ascii="Arial" w:hAnsi="Arial" w:cs="Arial"/>
          <w:iCs/>
        </w:rPr>
        <w:t>6.2</w:t>
      </w:r>
      <w:r>
        <w:rPr>
          <w:rFonts w:ascii="Arial" w:hAnsi="Arial" w:cs="Arial"/>
          <w:iCs/>
        </w:rPr>
        <w:tab/>
      </w:r>
      <w:r w:rsidR="00421DE6" w:rsidRPr="00FE1D79">
        <w:rPr>
          <w:rFonts w:ascii="Arial" w:hAnsi="Arial" w:cs="Arial"/>
          <w:iCs/>
        </w:rPr>
        <w:t xml:space="preserve">In order to agree discharge with conditions, the SoS must </w:t>
      </w:r>
      <w:r w:rsidR="008B4942">
        <w:rPr>
          <w:rFonts w:ascii="Arial" w:hAnsi="Arial" w:cs="Arial"/>
          <w:iCs/>
        </w:rPr>
        <w:t>nor</w:t>
      </w:r>
      <w:r w:rsidR="00E27B77">
        <w:rPr>
          <w:rFonts w:ascii="Arial" w:hAnsi="Arial" w:cs="Arial"/>
          <w:iCs/>
        </w:rPr>
        <w:t xml:space="preserve">mally </w:t>
      </w:r>
      <w:r w:rsidR="00421DE6" w:rsidRPr="00FE1D79">
        <w:rPr>
          <w:rFonts w:ascii="Arial" w:hAnsi="Arial" w:cs="Arial"/>
          <w:iCs/>
        </w:rPr>
        <w:t>be satisfied that</w:t>
      </w:r>
      <w:r w:rsidR="009354B6" w:rsidRPr="00FE1D79">
        <w:rPr>
          <w:rFonts w:ascii="Arial" w:hAnsi="Arial" w:cs="Arial"/>
          <w:iCs/>
        </w:rPr>
        <w:t xml:space="preserve"> the patient</w:t>
      </w:r>
      <w:r w:rsidR="00E72267" w:rsidRPr="00FE1D79">
        <w:rPr>
          <w:rFonts w:ascii="Arial" w:hAnsi="Arial" w:cs="Arial"/>
          <w:iCs/>
        </w:rPr>
        <w:t xml:space="preserve"> within the last </w:t>
      </w:r>
      <w:r w:rsidR="00ED2FC3" w:rsidRPr="00FE1D79">
        <w:rPr>
          <w:rFonts w:ascii="Arial" w:hAnsi="Arial" w:cs="Arial"/>
          <w:iCs/>
        </w:rPr>
        <w:t>6-12</w:t>
      </w:r>
      <w:r w:rsidR="00E72267" w:rsidRPr="00FE1D79">
        <w:rPr>
          <w:rFonts w:ascii="Arial" w:hAnsi="Arial" w:cs="Arial"/>
          <w:iCs/>
        </w:rPr>
        <w:t xml:space="preserve"> months</w:t>
      </w:r>
      <w:r w:rsidR="00421DE6" w:rsidRPr="00FE1D79">
        <w:rPr>
          <w:rFonts w:ascii="Arial" w:hAnsi="Arial" w:cs="Arial"/>
          <w:iCs/>
        </w:rPr>
        <w:t>:</w:t>
      </w:r>
    </w:p>
    <w:p w14:paraId="7E0BDBD2" w14:textId="3604144C" w:rsidR="00421DE6" w:rsidRPr="00FE1D79" w:rsidRDefault="00421DE6" w:rsidP="00763060">
      <w:pPr>
        <w:pStyle w:val="NoSpacing"/>
        <w:jc w:val="both"/>
        <w:rPr>
          <w:rFonts w:ascii="Arial" w:hAnsi="Arial" w:cs="Arial"/>
          <w:iCs/>
        </w:rPr>
      </w:pPr>
    </w:p>
    <w:p w14:paraId="63882F3B" w14:textId="50C00F1E" w:rsidR="00AD150C" w:rsidRPr="00FE1D79" w:rsidRDefault="00E72267" w:rsidP="00417902">
      <w:pPr>
        <w:pStyle w:val="ListParagraph"/>
        <w:numPr>
          <w:ilvl w:val="0"/>
          <w:numId w:val="13"/>
        </w:numPr>
        <w:spacing w:line="259" w:lineRule="auto"/>
        <w:contextualSpacing/>
        <w:jc w:val="both"/>
        <w:rPr>
          <w:rFonts w:ascii="Arial" w:eastAsia="Arial" w:hAnsi="Arial" w:cs="Arial"/>
          <w:sz w:val="22"/>
          <w:szCs w:val="22"/>
        </w:rPr>
      </w:pPr>
      <w:r w:rsidRPr="4CA5B0BF">
        <w:rPr>
          <w:rFonts w:ascii="Arial" w:hAnsi="Arial" w:cs="Arial"/>
          <w:sz w:val="22"/>
          <w:szCs w:val="22"/>
        </w:rPr>
        <w:t>Has presented</w:t>
      </w:r>
      <w:r w:rsidR="009354B6" w:rsidRPr="4CA5B0BF">
        <w:rPr>
          <w:rFonts w:ascii="Arial" w:hAnsi="Arial" w:cs="Arial"/>
          <w:sz w:val="22"/>
          <w:szCs w:val="22"/>
        </w:rPr>
        <w:t xml:space="preserve"> as stable in hospital</w:t>
      </w:r>
      <w:r w:rsidR="00AD150C" w:rsidRPr="4CA5B0BF">
        <w:rPr>
          <w:rFonts w:ascii="Arial" w:hAnsi="Arial" w:cs="Arial"/>
          <w:sz w:val="22"/>
          <w:szCs w:val="22"/>
        </w:rPr>
        <w:t xml:space="preserve"> with no recent </w:t>
      </w:r>
      <w:r w:rsidR="00AD150C" w:rsidRPr="4CA5B0BF">
        <w:rPr>
          <w:rFonts w:ascii="Arial" w:eastAsia="Arial" w:hAnsi="Arial" w:cs="Arial"/>
          <w:sz w:val="22"/>
          <w:szCs w:val="22"/>
        </w:rPr>
        <w:t>violent, aggressive or threatening conduct</w:t>
      </w:r>
      <w:r w:rsidR="008B7D50" w:rsidRPr="4CA5B0BF">
        <w:rPr>
          <w:rFonts w:ascii="Arial" w:eastAsia="Arial" w:hAnsi="Arial" w:cs="Arial"/>
          <w:sz w:val="22"/>
          <w:szCs w:val="22"/>
        </w:rPr>
        <w:t xml:space="preserve">; </w:t>
      </w:r>
      <w:r w:rsidR="001F0120" w:rsidRPr="4CA5B0BF">
        <w:rPr>
          <w:rFonts w:ascii="Arial" w:eastAsia="Arial" w:hAnsi="Arial" w:cs="Arial"/>
          <w:sz w:val="22"/>
          <w:szCs w:val="22"/>
        </w:rPr>
        <w:t>consumption o</w:t>
      </w:r>
      <w:r w:rsidR="0012584B" w:rsidRPr="4CA5B0BF">
        <w:rPr>
          <w:rFonts w:ascii="Arial" w:eastAsia="Arial" w:hAnsi="Arial" w:cs="Arial"/>
          <w:sz w:val="22"/>
          <w:szCs w:val="22"/>
        </w:rPr>
        <w:t>f</w:t>
      </w:r>
      <w:r w:rsidR="001F0120" w:rsidRPr="4CA5B0BF">
        <w:rPr>
          <w:rFonts w:ascii="Arial" w:eastAsia="Arial" w:hAnsi="Arial" w:cs="Arial"/>
          <w:sz w:val="22"/>
          <w:szCs w:val="22"/>
        </w:rPr>
        <w:t xml:space="preserve"> alcohol or illicit drugs;</w:t>
      </w:r>
      <w:r w:rsidR="00AD150C" w:rsidRPr="4CA5B0BF">
        <w:rPr>
          <w:rFonts w:ascii="Arial" w:eastAsia="Arial" w:hAnsi="Arial" w:cs="Arial"/>
          <w:sz w:val="22"/>
          <w:szCs w:val="22"/>
        </w:rPr>
        <w:t xml:space="preserve"> sexually inappropriate </w:t>
      </w:r>
      <w:proofErr w:type="spellStart"/>
      <w:r w:rsidR="00AD150C" w:rsidRPr="4CA5B0BF">
        <w:rPr>
          <w:rFonts w:ascii="Arial" w:eastAsia="Arial" w:hAnsi="Arial" w:cs="Arial"/>
          <w:sz w:val="22"/>
          <w:szCs w:val="22"/>
        </w:rPr>
        <w:t>behaviour</w:t>
      </w:r>
      <w:proofErr w:type="spellEnd"/>
      <w:r w:rsidR="00AD150C" w:rsidRPr="4CA5B0BF">
        <w:rPr>
          <w:rFonts w:ascii="Arial" w:eastAsia="Arial" w:hAnsi="Arial" w:cs="Arial"/>
          <w:sz w:val="22"/>
          <w:szCs w:val="22"/>
        </w:rPr>
        <w:t>; instances of self-harm; escaping from hospital or absconding whilst on community leave</w:t>
      </w:r>
      <w:r w:rsidR="002252FF" w:rsidRPr="4CA5B0BF">
        <w:rPr>
          <w:rFonts w:ascii="Arial" w:eastAsia="Arial" w:hAnsi="Arial" w:cs="Arial"/>
          <w:sz w:val="22"/>
          <w:szCs w:val="22"/>
        </w:rPr>
        <w:t>;</w:t>
      </w:r>
      <w:r w:rsidR="00AD150C" w:rsidRPr="4CA5B0BF">
        <w:rPr>
          <w:rFonts w:ascii="Arial" w:eastAsia="Arial" w:hAnsi="Arial" w:cs="Arial"/>
          <w:sz w:val="22"/>
          <w:szCs w:val="22"/>
        </w:rPr>
        <w:t xml:space="preserve"> criminal activity including any charges</w:t>
      </w:r>
      <w:r w:rsidR="008B7D50" w:rsidRPr="4CA5B0BF">
        <w:rPr>
          <w:rFonts w:ascii="Arial" w:eastAsia="Arial" w:hAnsi="Arial" w:cs="Arial"/>
          <w:sz w:val="22"/>
          <w:szCs w:val="22"/>
        </w:rPr>
        <w:t xml:space="preserve"> and/</w:t>
      </w:r>
      <w:r w:rsidR="005A07B5" w:rsidRPr="4CA5B0BF">
        <w:rPr>
          <w:rFonts w:ascii="Arial" w:eastAsia="Arial" w:hAnsi="Arial" w:cs="Arial"/>
          <w:sz w:val="22"/>
          <w:szCs w:val="22"/>
        </w:rPr>
        <w:t>o</w:t>
      </w:r>
      <w:r w:rsidR="008B7D50" w:rsidRPr="4CA5B0BF">
        <w:rPr>
          <w:rFonts w:ascii="Arial" w:eastAsia="Arial" w:hAnsi="Arial" w:cs="Arial"/>
          <w:sz w:val="22"/>
          <w:szCs w:val="22"/>
        </w:rPr>
        <w:t>r subsequent</w:t>
      </w:r>
      <w:r w:rsidR="002252FF" w:rsidRPr="4CA5B0BF">
        <w:rPr>
          <w:rFonts w:ascii="Arial" w:eastAsia="Arial" w:hAnsi="Arial" w:cs="Arial"/>
          <w:sz w:val="22"/>
          <w:szCs w:val="22"/>
        </w:rPr>
        <w:t xml:space="preserve">, </w:t>
      </w:r>
      <w:r w:rsidR="00AD150C" w:rsidRPr="4CA5B0BF">
        <w:rPr>
          <w:rFonts w:ascii="Arial" w:eastAsia="Arial" w:hAnsi="Arial" w:cs="Arial"/>
          <w:sz w:val="22"/>
          <w:szCs w:val="22"/>
        </w:rPr>
        <w:t>convictions</w:t>
      </w:r>
      <w:r w:rsidR="002252FF" w:rsidRPr="4CA5B0BF">
        <w:rPr>
          <w:rFonts w:ascii="Arial" w:eastAsia="Arial" w:hAnsi="Arial" w:cs="Arial"/>
          <w:sz w:val="22"/>
          <w:szCs w:val="22"/>
        </w:rPr>
        <w:t xml:space="preserve"> </w:t>
      </w:r>
      <w:r w:rsidR="00AD150C" w:rsidRPr="4CA5B0BF">
        <w:rPr>
          <w:rFonts w:ascii="Arial" w:eastAsia="Arial" w:hAnsi="Arial" w:cs="Arial"/>
          <w:sz w:val="22"/>
          <w:szCs w:val="22"/>
        </w:rPr>
        <w:t>sentences</w:t>
      </w:r>
      <w:r w:rsidR="001F0120" w:rsidRPr="4CA5B0BF">
        <w:rPr>
          <w:rFonts w:ascii="Arial" w:eastAsia="Arial" w:hAnsi="Arial" w:cs="Arial"/>
          <w:sz w:val="22"/>
          <w:szCs w:val="22"/>
        </w:rPr>
        <w:t>; trafficking of contraband items with other patients</w:t>
      </w:r>
      <w:r w:rsidR="00364B87">
        <w:rPr>
          <w:rFonts w:ascii="Arial" w:eastAsia="Arial" w:hAnsi="Arial" w:cs="Arial"/>
          <w:sz w:val="22"/>
          <w:szCs w:val="22"/>
        </w:rPr>
        <w:t>;</w:t>
      </w:r>
      <w:r w:rsidR="00AD150C" w:rsidRPr="4CA5B0BF">
        <w:rPr>
          <w:rFonts w:ascii="Arial" w:eastAsia="Arial" w:hAnsi="Arial" w:cs="Arial"/>
          <w:sz w:val="22"/>
          <w:szCs w:val="22"/>
        </w:rPr>
        <w:t xml:space="preserve"> </w:t>
      </w:r>
    </w:p>
    <w:p w14:paraId="4CBA4686" w14:textId="0DC18945" w:rsidR="00672F78" w:rsidRPr="00FE1D79" w:rsidRDefault="001F0120" w:rsidP="00417902">
      <w:pPr>
        <w:pStyle w:val="NoSpacing"/>
        <w:numPr>
          <w:ilvl w:val="0"/>
          <w:numId w:val="10"/>
        </w:numPr>
        <w:jc w:val="both"/>
        <w:rPr>
          <w:rFonts w:ascii="Arial" w:hAnsi="Arial" w:cs="Arial"/>
          <w:iCs/>
        </w:rPr>
      </w:pPr>
      <w:r w:rsidRPr="4CA5B0BF">
        <w:rPr>
          <w:rFonts w:ascii="Arial" w:hAnsi="Arial" w:cs="Arial"/>
        </w:rPr>
        <w:lastRenderedPageBreak/>
        <w:t xml:space="preserve">Has </w:t>
      </w:r>
      <w:r w:rsidR="00823413" w:rsidRPr="4CA5B0BF">
        <w:rPr>
          <w:rFonts w:ascii="Arial" w:hAnsi="Arial" w:cs="Arial"/>
        </w:rPr>
        <w:t>willingly e</w:t>
      </w:r>
      <w:r w:rsidR="00672F78" w:rsidRPr="4CA5B0BF">
        <w:rPr>
          <w:rFonts w:ascii="Arial" w:hAnsi="Arial" w:cs="Arial"/>
        </w:rPr>
        <w:t>ngaged with treatment</w:t>
      </w:r>
      <w:r w:rsidR="00823413" w:rsidRPr="4CA5B0BF">
        <w:rPr>
          <w:rFonts w:ascii="Arial" w:hAnsi="Arial" w:cs="Arial"/>
        </w:rPr>
        <w:t xml:space="preserve"> and complied with the need to </w:t>
      </w:r>
      <w:r w:rsidR="00E72267" w:rsidRPr="4CA5B0BF">
        <w:rPr>
          <w:rFonts w:ascii="Arial" w:hAnsi="Arial" w:cs="Arial"/>
        </w:rPr>
        <w:t>take any medication</w:t>
      </w:r>
      <w:r w:rsidR="00736AF0" w:rsidRPr="4CA5B0BF">
        <w:rPr>
          <w:rFonts w:ascii="Arial" w:hAnsi="Arial" w:cs="Arial"/>
        </w:rPr>
        <w:t xml:space="preserve"> so as to have some level of insight into the importance of managing their disorder</w:t>
      </w:r>
      <w:r w:rsidR="00364B87">
        <w:rPr>
          <w:rFonts w:ascii="Arial" w:hAnsi="Arial" w:cs="Arial"/>
        </w:rPr>
        <w:t>;</w:t>
      </w:r>
    </w:p>
    <w:p w14:paraId="26DEF3B2" w14:textId="54BBC773" w:rsidR="007144F9" w:rsidRPr="00FE1D79" w:rsidRDefault="007144F9" w:rsidP="00417902">
      <w:pPr>
        <w:pStyle w:val="NoSpacing"/>
        <w:numPr>
          <w:ilvl w:val="0"/>
          <w:numId w:val="10"/>
        </w:numPr>
        <w:jc w:val="both"/>
        <w:rPr>
          <w:rFonts w:ascii="Arial" w:hAnsi="Arial" w:cs="Arial"/>
          <w:iCs/>
        </w:rPr>
      </w:pPr>
      <w:r w:rsidRPr="4CA5B0BF">
        <w:rPr>
          <w:rFonts w:ascii="Arial" w:hAnsi="Arial" w:cs="Arial"/>
        </w:rPr>
        <w:t>Have completed work addressing their index offence</w:t>
      </w:r>
      <w:r w:rsidR="005C1112" w:rsidRPr="4CA5B0BF">
        <w:rPr>
          <w:rFonts w:ascii="Arial" w:hAnsi="Arial" w:cs="Arial"/>
        </w:rPr>
        <w:t xml:space="preserve"> and the part played by their disorder in it,</w:t>
      </w:r>
      <w:r w:rsidRPr="4CA5B0BF">
        <w:rPr>
          <w:rFonts w:ascii="Arial" w:hAnsi="Arial" w:cs="Arial"/>
        </w:rPr>
        <w:t xml:space="preserve"> either on this admission or on previous admissions</w:t>
      </w:r>
      <w:r w:rsidR="00364B87">
        <w:rPr>
          <w:rFonts w:ascii="Arial" w:hAnsi="Arial" w:cs="Arial"/>
        </w:rPr>
        <w:t>;</w:t>
      </w:r>
    </w:p>
    <w:p w14:paraId="6CA770EF" w14:textId="42DF6723" w:rsidR="00AD150C" w:rsidRPr="00FE1D79" w:rsidRDefault="00E72267" w:rsidP="00417902">
      <w:pPr>
        <w:pStyle w:val="NoSpacing"/>
        <w:numPr>
          <w:ilvl w:val="0"/>
          <w:numId w:val="10"/>
        </w:numPr>
        <w:jc w:val="both"/>
        <w:rPr>
          <w:rFonts w:ascii="Arial" w:hAnsi="Arial" w:cs="Arial"/>
          <w:iCs/>
        </w:rPr>
      </w:pPr>
      <w:r w:rsidRPr="4CA5B0BF">
        <w:rPr>
          <w:rFonts w:ascii="Arial" w:hAnsi="Arial" w:cs="Arial"/>
        </w:rPr>
        <w:t xml:space="preserve">Has used </w:t>
      </w:r>
      <w:r w:rsidR="00AD150C" w:rsidRPr="4CA5B0BF">
        <w:rPr>
          <w:rFonts w:ascii="Arial" w:hAnsi="Arial" w:cs="Arial"/>
        </w:rPr>
        <w:t>leave</w:t>
      </w:r>
      <w:r w:rsidR="0012584B" w:rsidRPr="4CA5B0BF">
        <w:rPr>
          <w:rFonts w:ascii="Arial" w:hAnsi="Arial" w:cs="Arial"/>
        </w:rPr>
        <w:t xml:space="preserve"> appropriately including</w:t>
      </w:r>
      <w:r w:rsidR="00D2313A" w:rsidRPr="4CA5B0BF">
        <w:rPr>
          <w:rFonts w:ascii="Arial" w:hAnsi="Arial" w:cs="Arial"/>
        </w:rPr>
        <w:t xml:space="preserve"> </w:t>
      </w:r>
      <w:r w:rsidR="00DD1225" w:rsidRPr="4CA5B0BF">
        <w:rPr>
          <w:rFonts w:ascii="Arial" w:hAnsi="Arial" w:cs="Arial"/>
        </w:rPr>
        <w:t>spells involving overnight stays</w:t>
      </w:r>
      <w:r w:rsidR="0012584B" w:rsidRPr="4CA5B0BF">
        <w:rPr>
          <w:rFonts w:ascii="Arial" w:hAnsi="Arial" w:cs="Arial"/>
        </w:rPr>
        <w:t xml:space="preserve"> </w:t>
      </w:r>
      <w:r w:rsidR="00DD1225" w:rsidRPr="4CA5B0BF">
        <w:rPr>
          <w:rFonts w:ascii="Arial" w:hAnsi="Arial" w:cs="Arial"/>
        </w:rPr>
        <w:t>in the community</w:t>
      </w:r>
      <w:r w:rsidR="00364B87">
        <w:rPr>
          <w:rFonts w:ascii="Arial" w:hAnsi="Arial" w:cs="Arial"/>
        </w:rPr>
        <w:t>;</w:t>
      </w:r>
    </w:p>
    <w:p w14:paraId="038B477D" w14:textId="0F8473D2" w:rsidR="00C82EC8" w:rsidRPr="00FE1D79" w:rsidRDefault="007336A1" w:rsidP="00417902">
      <w:pPr>
        <w:pStyle w:val="NoSpacing"/>
        <w:numPr>
          <w:ilvl w:val="0"/>
          <w:numId w:val="10"/>
        </w:numPr>
        <w:jc w:val="both"/>
        <w:rPr>
          <w:rFonts w:ascii="Arial" w:hAnsi="Arial" w:cs="Arial"/>
          <w:iCs/>
        </w:rPr>
      </w:pPr>
      <w:r w:rsidRPr="4CA5B0BF">
        <w:rPr>
          <w:rFonts w:ascii="Arial" w:hAnsi="Arial" w:cs="Arial"/>
        </w:rPr>
        <w:t xml:space="preserve">Has not attempted to contact any registered </w:t>
      </w:r>
      <w:r w:rsidR="00706FC5" w:rsidRPr="4CA5B0BF">
        <w:rPr>
          <w:rFonts w:ascii="Arial" w:hAnsi="Arial" w:cs="Arial"/>
        </w:rPr>
        <w:t>v</w:t>
      </w:r>
      <w:r w:rsidR="00C82EC8" w:rsidRPr="4CA5B0BF">
        <w:rPr>
          <w:rFonts w:ascii="Arial" w:hAnsi="Arial" w:cs="Arial"/>
        </w:rPr>
        <w:t xml:space="preserve">ictims </w:t>
      </w:r>
      <w:r w:rsidR="00706FC5" w:rsidRPr="4CA5B0BF">
        <w:rPr>
          <w:rFonts w:ascii="Arial" w:hAnsi="Arial" w:cs="Arial"/>
        </w:rPr>
        <w:t>and understands and appreciates conditions of discharge</w:t>
      </w:r>
      <w:r w:rsidR="00D2313A" w:rsidRPr="4CA5B0BF">
        <w:rPr>
          <w:rFonts w:ascii="Arial" w:hAnsi="Arial" w:cs="Arial"/>
        </w:rPr>
        <w:t xml:space="preserve"> which may be imposed to protect their interests</w:t>
      </w:r>
      <w:r w:rsidR="00364B87">
        <w:rPr>
          <w:rFonts w:ascii="Arial" w:hAnsi="Arial" w:cs="Arial"/>
        </w:rPr>
        <w:t>;</w:t>
      </w:r>
    </w:p>
    <w:p w14:paraId="38724E81" w14:textId="675C0B6A" w:rsidR="004C7F87" w:rsidRPr="00FE1D79" w:rsidRDefault="00452239" w:rsidP="00417902">
      <w:pPr>
        <w:pStyle w:val="NoSpacing"/>
        <w:numPr>
          <w:ilvl w:val="0"/>
          <w:numId w:val="10"/>
        </w:numPr>
        <w:jc w:val="both"/>
        <w:rPr>
          <w:rFonts w:ascii="Arial" w:hAnsi="Arial" w:cs="Arial"/>
          <w:iCs/>
        </w:rPr>
      </w:pPr>
      <w:r w:rsidRPr="4CA5B0BF">
        <w:rPr>
          <w:rFonts w:ascii="Arial" w:hAnsi="Arial" w:cs="Arial"/>
        </w:rPr>
        <w:t>Appreciates that any change in the nature or degree of their condition which increases their risk to others</w:t>
      </w:r>
      <w:r w:rsidR="001C1BCF" w:rsidRPr="4CA5B0BF">
        <w:rPr>
          <w:rFonts w:ascii="Arial" w:hAnsi="Arial" w:cs="Arial"/>
        </w:rPr>
        <w:t xml:space="preserve"> may result in them being recalled to hospital</w:t>
      </w:r>
      <w:r w:rsidR="00364B87">
        <w:rPr>
          <w:rFonts w:ascii="Arial" w:hAnsi="Arial" w:cs="Arial"/>
        </w:rPr>
        <w:t>;</w:t>
      </w:r>
    </w:p>
    <w:p w14:paraId="1B597ECA" w14:textId="512ED053" w:rsidR="00417902" w:rsidRPr="00FE1D79" w:rsidRDefault="00417902" w:rsidP="00417902">
      <w:pPr>
        <w:pStyle w:val="NoSpacing"/>
        <w:numPr>
          <w:ilvl w:val="0"/>
          <w:numId w:val="10"/>
        </w:numPr>
        <w:jc w:val="both"/>
        <w:rPr>
          <w:rFonts w:ascii="Arial" w:hAnsi="Arial" w:cs="Arial"/>
          <w:iCs/>
        </w:rPr>
      </w:pPr>
      <w:r w:rsidRPr="4CA5B0BF">
        <w:rPr>
          <w:rFonts w:ascii="Arial" w:hAnsi="Arial" w:cs="Arial"/>
        </w:rPr>
        <w:t xml:space="preserve">Has not self-harmed or has addressed the </w:t>
      </w:r>
      <w:r w:rsidR="001C1BCF" w:rsidRPr="4CA5B0BF">
        <w:rPr>
          <w:rFonts w:ascii="Arial" w:hAnsi="Arial" w:cs="Arial"/>
        </w:rPr>
        <w:t>reasons for this in treatment</w:t>
      </w:r>
      <w:r w:rsidR="00364B87">
        <w:rPr>
          <w:rFonts w:ascii="Arial" w:hAnsi="Arial" w:cs="Arial"/>
        </w:rPr>
        <w:t>;</w:t>
      </w:r>
    </w:p>
    <w:p w14:paraId="1100D1AF" w14:textId="7AB9038F" w:rsidR="004D2017" w:rsidRPr="00FE1D79" w:rsidRDefault="001C1BCF" w:rsidP="00417902">
      <w:pPr>
        <w:pStyle w:val="NoSpacing"/>
        <w:numPr>
          <w:ilvl w:val="0"/>
          <w:numId w:val="10"/>
        </w:numPr>
        <w:jc w:val="both"/>
        <w:rPr>
          <w:rFonts w:ascii="Arial" w:hAnsi="Arial" w:cs="Arial"/>
          <w:iCs/>
        </w:rPr>
      </w:pPr>
      <w:r w:rsidRPr="4CA5B0BF">
        <w:rPr>
          <w:rFonts w:ascii="Arial" w:hAnsi="Arial" w:cs="Arial"/>
        </w:rPr>
        <w:t>Has, if rec</w:t>
      </w:r>
      <w:r w:rsidR="00F77E8F" w:rsidRPr="4CA5B0BF">
        <w:rPr>
          <w:rFonts w:ascii="Arial" w:hAnsi="Arial" w:cs="Arial"/>
        </w:rPr>
        <w:t>a</w:t>
      </w:r>
      <w:r w:rsidRPr="4CA5B0BF">
        <w:rPr>
          <w:rFonts w:ascii="Arial" w:hAnsi="Arial" w:cs="Arial"/>
        </w:rPr>
        <w:t>lled</w:t>
      </w:r>
      <w:r w:rsidR="00F77E8F" w:rsidRPr="4CA5B0BF">
        <w:rPr>
          <w:rFonts w:ascii="Arial" w:hAnsi="Arial" w:cs="Arial"/>
        </w:rPr>
        <w:t xml:space="preserve"> to hospital, addressed the </w:t>
      </w:r>
      <w:r w:rsidR="004D2017" w:rsidRPr="4CA5B0BF">
        <w:rPr>
          <w:rFonts w:ascii="Arial" w:hAnsi="Arial" w:cs="Arial"/>
        </w:rPr>
        <w:t xml:space="preserve">circumstances behind </w:t>
      </w:r>
      <w:r w:rsidR="008E422B" w:rsidRPr="4CA5B0BF">
        <w:rPr>
          <w:rFonts w:ascii="Arial" w:hAnsi="Arial" w:cs="Arial"/>
        </w:rPr>
        <w:t>that decision</w:t>
      </w:r>
      <w:r w:rsidR="00364B87">
        <w:rPr>
          <w:rFonts w:ascii="Arial" w:hAnsi="Arial" w:cs="Arial"/>
        </w:rPr>
        <w:t>;</w:t>
      </w:r>
      <w:r w:rsidR="00836578">
        <w:rPr>
          <w:rFonts w:ascii="Arial" w:hAnsi="Arial" w:cs="Arial"/>
        </w:rPr>
        <w:t xml:space="preserve"> and</w:t>
      </w:r>
    </w:p>
    <w:p w14:paraId="044D59A6" w14:textId="35412C24" w:rsidR="00D77527" w:rsidRPr="00FE1D79" w:rsidRDefault="008E422B" w:rsidP="00417902">
      <w:pPr>
        <w:pStyle w:val="NoSpacing"/>
        <w:numPr>
          <w:ilvl w:val="0"/>
          <w:numId w:val="10"/>
        </w:numPr>
        <w:jc w:val="both"/>
        <w:rPr>
          <w:rFonts w:ascii="Arial" w:hAnsi="Arial" w:cs="Arial"/>
          <w:iCs/>
        </w:rPr>
      </w:pPr>
      <w:r w:rsidRPr="4CA5B0BF">
        <w:rPr>
          <w:rFonts w:ascii="Arial" w:hAnsi="Arial" w:cs="Arial"/>
        </w:rPr>
        <w:t>Understands the</w:t>
      </w:r>
      <w:r w:rsidR="00A05766" w:rsidRPr="4CA5B0BF">
        <w:rPr>
          <w:rFonts w:ascii="Arial" w:hAnsi="Arial" w:cs="Arial"/>
        </w:rPr>
        <w:t xml:space="preserve"> reasons for the</w:t>
      </w:r>
      <w:r w:rsidR="00C42B34" w:rsidRPr="4CA5B0BF">
        <w:rPr>
          <w:rFonts w:ascii="Arial" w:hAnsi="Arial" w:cs="Arial"/>
        </w:rPr>
        <w:t xml:space="preserve"> proposed</w:t>
      </w:r>
      <w:r w:rsidRPr="4CA5B0BF">
        <w:rPr>
          <w:rFonts w:ascii="Arial" w:hAnsi="Arial" w:cs="Arial"/>
        </w:rPr>
        <w:t xml:space="preserve"> </w:t>
      </w:r>
      <w:r w:rsidR="00A05766" w:rsidRPr="4CA5B0BF">
        <w:rPr>
          <w:rFonts w:ascii="Arial" w:hAnsi="Arial" w:cs="Arial"/>
        </w:rPr>
        <w:t xml:space="preserve">discharge </w:t>
      </w:r>
      <w:r w:rsidRPr="4CA5B0BF">
        <w:rPr>
          <w:rFonts w:ascii="Arial" w:hAnsi="Arial" w:cs="Arial"/>
        </w:rPr>
        <w:t>c</w:t>
      </w:r>
      <w:r w:rsidR="00D77527" w:rsidRPr="4CA5B0BF">
        <w:rPr>
          <w:rFonts w:ascii="Arial" w:hAnsi="Arial" w:cs="Arial"/>
        </w:rPr>
        <w:t>onditions</w:t>
      </w:r>
      <w:r w:rsidR="00364B87">
        <w:rPr>
          <w:rFonts w:ascii="Arial" w:hAnsi="Arial" w:cs="Arial"/>
        </w:rPr>
        <w:t>.</w:t>
      </w:r>
      <w:r w:rsidR="00D77527" w:rsidRPr="4CA5B0BF">
        <w:rPr>
          <w:rFonts w:ascii="Arial" w:hAnsi="Arial" w:cs="Arial"/>
        </w:rPr>
        <w:t xml:space="preserve"> </w:t>
      </w:r>
    </w:p>
    <w:p w14:paraId="5B1EA01E" w14:textId="77777777" w:rsidR="00DD1225" w:rsidRPr="00FE1D79" w:rsidRDefault="00DD1225" w:rsidP="00DD1225">
      <w:pPr>
        <w:pStyle w:val="NoSpacing"/>
        <w:ind w:left="720"/>
        <w:jc w:val="both"/>
        <w:rPr>
          <w:rFonts w:ascii="Arial" w:hAnsi="Arial" w:cs="Arial"/>
          <w:iCs/>
        </w:rPr>
      </w:pPr>
    </w:p>
    <w:p w14:paraId="3FEF902D" w14:textId="559990AD" w:rsidR="00DD1225" w:rsidRPr="00FE1D79" w:rsidRDefault="0074737C" w:rsidP="00DD1225">
      <w:pPr>
        <w:pStyle w:val="NoSpacing"/>
        <w:jc w:val="both"/>
        <w:rPr>
          <w:rFonts w:ascii="Arial" w:hAnsi="Arial" w:cs="Arial"/>
          <w:iCs/>
        </w:rPr>
      </w:pPr>
      <w:r>
        <w:rPr>
          <w:rFonts w:ascii="Arial" w:hAnsi="Arial" w:cs="Arial"/>
          <w:iCs/>
        </w:rPr>
        <w:t xml:space="preserve">6.3 </w:t>
      </w:r>
      <w:r>
        <w:rPr>
          <w:rFonts w:ascii="Arial" w:hAnsi="Arial" w:cs="Arial"/>
          <w:iCs/>
        </w:rPr>
        <w:tab/>
      </w:r>
      <w:r w:rsidR="00DD1225" w:rsidRPr="00FE1D79">
        <w:rPr>
          <w:rFonts w:ascii="Arial" w:hAnsi="Arial" w:cs="Arial"/>
          <w:iCs/>
        </w:rPr>
        <w:t xml:space="preserve">In addition, the SoS will need to be satisfied that </w:t>
      </w:r>
      <w:r w:rsidR="005A07B5" w:rsidRPr="00FE1D79">
        <w:rPr>
          <w:rFonts w:ascii="Arial" w:hAnsi="Arial" w:cs="Arial"/>
          <w:iCs/>
        </w:rPr>
        <w:t xml:space="preserve">the arrangements for the safe management and </w:t>
      </w:r>
      <w:r w:rsidR="007024BE" w:rsidRPr="00FE1D79">
        <w:rPr>
          <w:rFonts w:ascii="Arial" w:hAnsi="Arial" w:cs="Arial"/>
          <w:iCs/>
        </w:rPr>
        <w:t>a</w:t>
      </w:r>
      <w:r w:rsidR="00DD1225" w:rsidRPr="00FE1D79">
        <w:rPr>
          <w:rFonts w:ascii="Arial" w:hAnsi="Arial" w:cs="Arial"/>
          <w:iCs/>
        </w:rPr>
        <w:t xml:space="preserve">ftercare </w:t>
      </w:r>
      <w:r w:rsidR="007024BE" w:rsidRPr="00FE1D79">
        <w:rPr>
          <w:rFonts w:ascii="Arial" w:hAnsi="Arial" w:cs="Arial"/>
          <w:iCs/>
        </w:rPr>
        <w:t xml:space="preserve">are </w:t>
      </w:r>
      <w:r w:rsidR="00DD1225" w:rsidRPr="00FE1D79">
        <w:rPr>
          <w:rFonts w:ascii="Arial" w:hAnsi="Arial" w:cs="Arial"/>
          <w:iCs/>
        </w:rPr>
        <w:t>in place</w:t>
      </w:r>
      <w:r w:rsidR="007024BE" w:rsidRPr="00FE1D79">
        <w:rPr>
          <w:rFonts w:ascii="Arial" w:hAnsi="Arial" w:cs="Arial"/>
          <w:iCs/>
        </w:rPr>
        <w:t xml:space="preserve"> </w:t>
      </w:r>
      <w:r w:rsidR="00811B44" w:rsidRPr="00FE1D79">
        <w:rPr>
          <w:rFonts w:ascii="Arial" w:hAnsi="Arial" w:cs="Arial"/>
          <w:iCs/>
        </w:rPr>
        <w:t>including appointed RC and other Team members</w:t>
      </w:r>
      <w:r w:rsidR="00322E49" w:rsidRPr="00FE1D79">
        <w:rPr>
          <w:rFonts w:ascii="Arial" w:hAnsi="Arial" w:cs="Arial"/>
          <w:iCs/>
        </w:rPr>
        <w:t xml:space="preserve"> and a level of professional support commensurate with the patient’s needs</w:t>
      </w:r>
      <w:r w:rsidR="004E0A10">
        <w:rPr>
          <w:rFonts w:ascii="Arial" w:hAnsi="Arial" w:cs="Arial"/>
          <w:iCs/>
        </w:rPr>
        <w:t xml:space="preserve">. This should include the level of </w:t>
      </w:r>
      <w:r w:rsidR="002A3E1A">
        <w:rPr>
          <w:rFonts w:ascii="Arial" w:hAnsi="Arial" w:cs="Arial"/>
          <w:iCs/>
        </w:rPr>
        <w:t xml:space="preserve">management under </w:t>
      </w:r>
      <w:r w:rsidR="004E0A10">
        <w:rPr>
          <w:rFonts w:ascii="Arial" w:hAnsi="Arial" w:cs="Arial"/>
          <w:iCs/>
        </w:rPr>
        <w:t>MAPPA</w:t>
      </w:r>
      <w:r w:rsidR="00811B44" w:rsidRPr="00FE1D79">
        <w:rPr>
          <w:rFonts w:ascii="Arial" w:hAnsi="Arial" w:cs="Arial"/>
          <w:iCs/>
        </w:rPr>
        <w:t xml:space="preserve"> </w:t>
      </w:r>
      <w:r w:rsidR="002A3E1A">
        <w:rPr>
          <w:rFonts w:ascii="Arial" w:hAnsi="Arial" w:cs="Arial"/>
          <w:iCs/>
        </w:rPr>
        <w:t>where appropriate.</w:t>
      </w:r>
    </w:p>
    <w:p w14:paraId="7C2AF4FA" w14:textId="77777777" w:rsidR="007C6003" w:rsidRPr="00FE1D79" w:rsidRDefault="007C6003" w:rsidP="00A84A66">
      <w:pPr>
        <w:pStyle w:val="NoSpacing"/>
        <w:jc w:val="both"/>
        <w:rPr>
          <w:rFonts w:ascii="Arial" w:eastAsia="Arial" w:hAnsi="Arial" w:cs="Arial"/>
          <w:b/>
          <w:u w:val="single"/>
        </w:rPr>
      </w:pPr>
    </w:p>
    <w:p w14:paraId="3A71A0EC" w14:textId="5B9EE565" w:rsidR="007C6003" w:rsidRPr="00FE1D79" w:rsidRDefault="0074737C" w:rsidP="00A84A66">
      <w:pPr>
        <w:pStyle w:val="NoSpacing"/>
        <w:jc w:val="both"/>
        <w:rPr>
          <w:rFonts w:ascii="Arial" w:eastAsia="Arial" w:hAnsi="Arial" w:cs="Arial"/>
          <w:bCs/>
        </w:rPr>
      </w:pPr>
      <w:r>
        <w:rPr>
          <w:rFonts w:ascii="Arial" w:eastAsia="Arial" w:hAnsi="Arial" w:cs="Arial"/>
          <w:bCs/>
        </w:rPr>
        <w:t>6.4</w:t>
      </w:r>
      <w:r>
        <w:rPr>
          <w:rFonts w:ascii="Arial" w:eastAsia="Arial" w:hAnsi="Arial" w:cs="Arial"/>
          <w:bCs/>
        </w:rPr>
        <w:tab/>
      </w:r>
      <w:r w:rsidR="00A05766" w:rsidRPr="00FE1D79">
        <w:rPr>
          <w:rFonts w:ascii="Arial" w:eastAsia="Arial" w:hAnsi="Arial" w:cs="Arial"/>
          <w:bCs/>
        </w:rPr>
        <w:t xml:space="preserve">In setting the conditions of discharge, the SoS </w:t>
      </w:r>
      <w:r w:rsidR="003E7243" w:rsidRPr="00FE1D79">
        <w:rPr>
          <w:rFonts w:ascii="Arial" w:eastAsia="Arial" w:hAnsi="Arial" w:cs="Arial"/>
          <w:bCs/>
        </w:rPr>
        <w:t xml:space="preserve">will ensure that they are </w:t>
      </w:r>
      <w:r w:rsidR="00A05766" w:rsidRPr="00FE1D79">
        <w:rPr>
          <w:rFonts w:ascii="Arial" w:hAnsi="Arial" w:cs="Arial"/>
          <w:iCs/>
        </w:rPr>
        <w:t>reasoned and proportionate and address</w:t>
      </w:r>
      <w:r w:rsidR="003E7243" w:rsidRPr="00FE1D79">
        <w:rPr>
          <w:rFonts w:ascii="Arial" w:hAnsi="Arial" w:cs="Arial"/>
          <w:iCs/>
        </w:rPr>
        <w:t xml:space="preserve"> the </w:t>
      </w:r>
      <w:r w:rsidR="00A05766" w:rsidRPr="00FE1D79">
        <w:rPr>
          <w:rFonts w:ascii="Arial" w:hAnsi="Arial" w:cs="Arial"/>
          <w:iCs/>
        </w:rPr>
        <w:t>risk</w:t>
      </w:r>
      <w:r w:rsidR="003E7243" w:rsidRPr="00FE1D79">
        <w:rPr>
          <w:rFonts w:ascii="Arial" w:hAnsi="Arial" w:cs="Arial"/>
          <w:iCs/>
        </w:rPr>
        <w:t xml:space="preserve"> the patient still presents because of their disorder</w:t>
      </w:r>
      <w:r w:rsidR="00D950BD" w:rsidRPr="00FE1D79">
        <w:rPr>
          <w:rFonts w:ascii="Arial" w:hAnsi="Arial" w:cs="Arial"/>
          <w:iCs/>
        </w:rPr>
        <w:t xml:space="preserve"> to the public including, specifically, any victims of their offending</w:t>
      </w:r>
      <w:r w:rsidR="00B5017F">
        <w:rPr>
          <w:rFonts w:ascii="Arial" w:hAnsi="Arial" w:cs="Arial"/>
          <w:iCs/>
        </w:rPr>
        <w:t xml:space="preserve"> (see annex B)</w:t>
      </w:r>
      <w:r w:rsidR="00D950BD" w:rsidRPr="00FE1D79">
        <w:rPr>
          <w:rFonts w:ascii="Arial" w:hAnsi="Arial" w:cs="Arial"/>
          <w:iCs/>
        </w:rPr>
        <w:t>.</w:t>
      </w:r>
      <w:r w:rsidR="009047EC">
        <w:rPr>
          <w:rFonts w:ascii="Arial" w:hAnsi="Arial" w:cs="Arial"/>
          <w:iCs/>
        </w:rPr>
        <w:t xml:space="preserve"> </w:t>
      </w:r>
    </w:p>
    <w:p w14:paraId="4BE50007" w14:textId="77777777" w:rsidR="007C6003" w:rsidRPr="00FE1D79" w:rsidRDefault="007C6003" w:rsidP="00A84A66">
      <w:pPr>
        <w:pStyle w:val="NoSpacing"/>
        <w:jc w:val="both"/>
        <w:rPr>
          <w:rFonts w:ascii="Arial" w:eastAsia="Arial" w:hAnsi="Arial" w:cs="Arial"/>
          <w:b/>
          <w:u w:val="single"/>
        </w:rPr>
      </w:pPr>
    </w:p>
    <w:p w14:paraId="57C162D0" w14:textId="717D388E" w:rsidR="00C54E26" w:rsidRPr="00FE1D79" w:rsidRDefault="00C54E26" w:rsidP="00763060">
      <w:pPr>
        <w:pStyle w:val="NoSpacing"/>
        <w:jc w:val="both"/>
        <w:rPr>
          <w:rFonts w:ascii="Arial" w:hAnsi="Arial" w:cs="Arial"/>
          <w:i/>
        </w:rPr>
      </w:pPr>
      <w:r w:rsidRPr="00FE1D79">
        <w:rPr>
          <w:rFonts w:ascii="Arial" w:hAnsi="Arial" w:cs="Arial"/>
          <w:i/>
        </w:rPr>
        <w:t>Absolute</w:t>
      </w:r>
    </w:p>
    <w:p w14:paraId="6BEF8184" w14:textId="68419C4F" w:rsidR="00C54E26" w:rsidRDefault="00C54E26" w:rsidP="00763060">
      <w:pPr>
        <w:pStyle w:val="NoSpacing"/>
        <w:jc w:val="both"/>
        <w:rPr>
          <w:rFonts w:ascii="Arial" w:hAnsi="Arial" w:cs="Arial"/>
          <w:i/>
        </w:rPr>
      </w:pPr>
    </w:p>
    <w:p w14:paraId="509D8120" w14:textId="281CE6AD" w:rsidR="00086EB6" w:rsidRPr="00FE1D79" w:rsidRDefault="0074737C" w:rsidP="00086EB6">
      <w:pPr>
        <w:pStyle w:val="NoSpacing"/>
        <w:jc w:val="both"/>
        <w:rPr>
          <w:rFonts w:ascii="Arial" w:hAnsi="Arial" w:cs="Arial"/>
          <w:b/>
          <w:i/>
        </w:rPr>
      </w:pPr>
      <w:r>
        <w:rPr>
          <w:rFonts w:ascii="Arial" w:hAnsi="Arial" w:cs="Arial"/>
        </w:rPr>
        <w:t>6.5</w:t>
      </w:r>
      <w:r>
        <w:rPr>
          <w:rFonts w:ascii="Arial" w:hAnsi="Arial" w:cs="Arial"/>
        </w:rPr>
        <w:tab/>
      </w:r>
      <w:r w:rsidR="00086EB6" w:rsidRPr="00FE1D79">
        <w:rPr>
          <w:rFonts w:ascii="Arial" w:hAnsi="Arial" w:cs="Arial"/>
        </w:rPr>
        <w:t xml:space="preserve">The SoS considers the restriction placed upon a conditionally discharged patient to be minimal and as such there should be no expectation that any conditionally discharged patient will eventually be absolutely discharged. </w:t>
      </w:r>
    </w:p>
    <w:p w14:paraId="38167544" w14:textId="798C4DC4" w:rsidR="00086EB6" w:rsidRDefault="00086EB6" w:rsidP="00763060">
      <w:pPr>
        <w:pStyle w:val="NoSpacing"/>
        <w:jc w:val="both"/>
        <w:rPr>
          <w:rFonts w:ascii="Arial" w:hAnsi="Arial" w:cs="Arial"/>
          <w:i/>
        </w:rPr>
      </w:pPr>
    </w:p>
    <w:p w14:paraId="3746A603" w14:textId="7310E13D" w:rsidR="00B6326F" w:rsidRDefault="0074737C" w:rsidP="00B6326F">
      <w:pPr>
        <w:pStyle w:val="NoSpacing"/>
        <w:jc w:val="both"/>
        <w:rPr>
          <w:rFonts w:ascii="Arial" w:hAnsi="Arial" w:cs="Arial"/>
        </w:rPr>
      </w:pPr>
      <w:r>
        <w:rPr>
          <w:rFonts w:ascii="Arial" w:hAnsi="Arial" w:cs="Arial"/>
        </w:rPr>
        <w:t>6.6</w:t>
      </w:r>
      <w:r>
        <w:rPr>
          <w:rFonts w:ascii="Arial" w:hAnsi="Arial" w:cs="Arial"/>
        </w:rPr>
        <w:tab/>
      </w:r>
      <w:r w:rsidR="001905C6">
        <w:rPr>
          <w:rFonts w:ascii="Arial" w:hAnsi="Arial" w:cs="Arial"/>
        </w:rPr>
        <w:t>As explained abo</w:t>
      </w:r>
      <w:r w:rsidR="000F19EB">
        <w:rPr>
          <w:rFonts w:ascii="Arial" w:hAnsi="Arial" w:cs="Arial"/>
        </w:rPr>
        <w:t>ve</w:t>
      </w:r>
      <w:r w:rsidR="001905C6">
        <w:rPr>
          <w:rFonts w:ascii="Arial" w:hAnsi="Arial" w:cs="Arial"/>
        </w:rPr>
        <w:t xml:space="preserve"> in paragraph 6.1, discretion to discharge </w:t>
      </w:r>
      <w:r w:rsidR="00364B87">
        <w:rPr>
          <w:rFonts w:ascii="Arial" w:hAnsi="Arial" w:cs="Arial"/>
        </w:rPr>
        <w:t xml:space="preserve">absolutely </w:t>
      </w:r>
      <w:r w:rsidR="001905C6">
        <w:rPr>
          <w:rFonts w:ascii="Arial" w:hAnsi="Arial" w:cs="Arial"/>
        </w:rPr>
        <w:t xml:space="preserve">under </w:t>
      </w:r>
      <w:r w:rsidR="003109EA">
        <w:rPr>
          <w:rFonts w:ascii="Arial" w:hAnsi="Arial" w:cs="Arial"/>
        </w:rPr>
        <w:t>section</w:t>
      </w:r>
      <w:r w:rsidR="00A75D66">
        <w:rPr>
          <w:rFonts w:ascii="Arial" w:hAnsi="Arial" w:cs="Arial"/>
        </w:rPr>
        <w:t xml:space="preserve"> 42(2)</w:t>
      </w:r>
      <w:r w:rsidR="001905C6">
        <w:rPr>
          <w:rFonts w:ascii="Arial" w:hAnsi="Arial" w:cs="Arial"/>
        </w:rPr>
        <w:t xml:space="preserve"> is very broad but must only be exercised having regard to all the matters outlined in this policy.</w:t>
      </w:r>
      <w:r w:rsidR="00A75D66">
        <w:rPr>
          <w:rFonts w:ascii="Arial" w:hAnsi="Arial" w:cs="Arial"/>
        </w:rPr>
        <w:t xml:space="preserve"> </w:t>
      </w:r>
      <w:r w:rsidR="00A75D66" w:rsidRPr="00FE1D79">
        <w:rPr>
          <w:rFonts w:ascii="Arial" w:hAnsi="Arial" w:cs="Arial"/>
        </w:rPr>
        <w:t>The SoS will</w:t>
      </w:r>
      <w:r w:rsidR="00A75D66">
        <w:rPr>
          <w:rFonts w:ascii="Arial" w:hAnsi="Arial" w:cs="Arial"/>
        </w:rPr>
        <w:t xml:space="preserve"> normally</w:t>
      </w:r>
      <w:r w:rsidR="00A75D66" w:rsidRPr="00FE1D79">
        <w:rPr>
          <w:rFonts w:ascii="Arial" w:hAnsi="Arial" w:cs="Arial"/>
        </w:rPr>
        <w:t xml:space="preserve"> only grant </w:t>
      </w:r>
      <w:r w:rsidR="00A75D66">
        <w:rPr>
          <w:rFonts w:ascii="Arial" w:hAnsi="Arial" w:cs="Arial"/>
        </w:rPr>
        <w:t xml:space="preserve">absolute discharge under section 42(2) </w:t>
      </w:r>
      <w:r w:rsidR="00A75D66" w:rsidRPr="00FE1D79">
        <w:rPr>
          <w:rFonts w:ascii="Arial" w:hAnsi="Arial" w:cs="Arial"/>
        </w:rPr>
        <w:t xml:space="preserve">in circumstances </w:t>
      </w:r>
      <w:r w:rsidR="00A75D66">
        <w:rPr>
          <w:rFonts w:ascii="Arial" w:hAnsi="Arial" w:cs="Arial"/>
        </w:rPr>
        <w:t xml:space="preserve">where </w:t>
      </w:r>
      <w:r w:rsidR="00A75D66" w:rsidRPr="00FE1D79">
        <w:rPr>
          <w:rFonts w:ascii="Arial" w:hAnsi="Arial" w:cs="Arial"/>
        </w:rPr>
        <w:t>it is clear that restrictions are no longer required to ensure the patient’s safe management</w:t>
      </w:r>
      <w:r w:rsidR="00A75D66">
        <w:rPr>
          <w:rFonts w:ascii="Arial" w:hAnsi="Arial" w:cs="Arial"/>
        </w:rPr>
        <w:t xml:space="preserve"> and where the patient no longer requires the provision of recall</w:t>
      </w:r>
      <w:r w:rsidR="00A75D66" w:rsidRPr="00FE1D79">
        <w:rPr>
          <w:rFonts w:ascii="Arial" w:hAnsi="Arial" w:cs="Arial"/>
        </w:rPr>
        <w:t>.</w:t>
      </w:r>
      <w:r w:rsidR="00676874">
        <w:rPr>
          <w:rFonts w:ascii="Arial" w:hAnsi="Arial" w:cs="Arial"/>
        </w:rPr>
        <w:t xml:space="preserve"> </w:t>
      </w:r>
      <w:r w:rsidR="00991E79">
        <w:rPr>
          <w:rFonts w:ascii="Arial" w:hAnsi="Arial" w:cs="Arial"/>
        </w:rPr>
        <w:t xml:space="preserve">The below criteria are </w:t>
      </w:r>
      <w:r w:rsidR="00D96344">
        <w:rPr>
          <w:rFonts w:ascii="Arial" w:hAnsi="Arial" w:cs="Arial"/>
        </w:rPr>
        <w:t>not definitive or exhaustive but will form the basis of most assessments. Other circumstances will also be considered where the S</w:t>
      </w:r>
      <w:r w:rsidR="00676874">
        <w:rPr>
          <w:rFonts w:ascii="Arial" w:hAnsi="Arial" w:cs="Arial"/>
        </w:rPr>
        <w:t>o</w:t>
      </w:r>
      <w:r w:rsidR="00D96344">
        <w:rPr>
          <w:rFonts w:ascii="Arial" w:hAnsi="Arial" w:cs="Arial"/>
        </w:rPr>
        <w:t>S thinks fit.</w:t>
      </w:r>
      <w:r w:rsidR="001905C6">
        <w:rPr>
          <w:rFonts w:ascii="Arial" w:hAnsi="Arial" w:cs="Arial"/>
        </w:rPr>
        <w:t xml:space="preserve"> </w:t>
      </w:r>
    </w:p>
    <w:p w14:paraId="16904228" w14:textId="77777777" w:rsidR="00B6326F" w:rsidRPr="00FE1D79" w:rsidRDefault="00B6326F" w:rsidP="00763060">
      <w:pPr>
        <w:pStyle w:val="NoSpacing"/>
        <w:jc w:val="both"/>
        <w:rPr>
          <w:rFonts w:ascii="Arial" w:hAnsi="Arial" w:cs="Arial"/>
          <w:i/>
        </w:rPr>
      </w:pPr>
    </w:p>
    <w:p w14:paraId="2EE7B9B3" w14:textId="43738144" w:rsidR="001B366C" w:rsidRPr="00FE1D79" w:rsidRDefault="0074737C" w:rsidP="00763060">
      <w:pPr>
        <w:pStyle w:val="NoSpacing"/>
        <w:jc w:val="both"/>
        <w:rPr>
          <w:rFonts w:ascii="Arial" w:hAnsi="Arial" w:cs="Arial"/>
          <w:iCs/>
        </w:rPr>
      </w:pPr>
      <w:r>
        <w:rPr>
          <w:rFonts w:ascii="Arial" w:hAnsi="Arial" w:cs="Arial"/>
          <w:iCs/>
        </w:rPr>
        <w:t>6.7</w:t>
      </w:r>
      <w:r>
        <w:rPr>
          <w:rFonts w:ascii="Arial" w:hAnsi="Arial" w:cs="Arial"/>
          <w:iCs/>
        </w:rPr>
        <w:tab/>
      </w:r>
      <w:r w:rsidR="001B366C" w:rsidRPr="00FE1D79">
        <w:rPr>
          <w:rFonts w:ascii="Arial" w:hAnsi="Arial" w:cs="Arial"/>
          <w:iCs/>
        </w:rPr>
        <w:t xml:space="preserve">Applications for absolute discharge </w:t>
      </w:r>
      <w:r w:rsidR="00655662">
        <w:rPr>
          <w:rFonts w:ascii="Arial" w:hAnsi="Arial" w:cs="Arial"/>
          <w:iCs/>
        </w:rPr>
        <w:t xml:space="preserve">normally </w:t>
      </w:r>
      <w:r w:rsidR="001B366C" w:rsidRPr="00FE1D79">
        <w:rPr>
          <w:rFonts w:ascii="Arial" w:hAnsi="Arial" w:cs="Arial"/>
          <w:iCs/>
        </w:rPr>
        <w:t xml:space="preserve">fall into </w:t>
      </w:r>
      <w:r w:rsidR="008D035F">
        <w:rPr>
          <w:rFonts w:ascii="Arial" w:hAnsi="Arial" w:cs="Arial"/>
          <w:iCs/>
        </w:rPr>
        <w:t>two</w:t>
      </w:r>
      <w:r w:rsidR="008D035F" w:rsidRPr="00FE1D79">
        <w:rPr>
          <w:rFonts w:ascii="Arial" w:hAnsi="Arial" w:cs="Arial"/>
          <w:iCs/>
        </w:rPr>
        <w:t xml:space="preserve"> </w:t>
      </w:r>
      <w:r w:rsidR="001B366C" w:rsidRPr="00FE1D79">
        <w:rPr>
          <w:rFonts w:ascii="Arial" w:hAnsi="Arial" w:cs="Arial"/>
          <w:iCs/>
        </w:rPr>
        <w:t>broad categories:</w:t>
      </w:r>
    </w:p>
    <w:p w14:paraId="60976238" w14:textId="77777777" w:rsidR="001B366C" w:rsidRPr="00FE1D79" w:rsidRDefault="001B366C" w:rsidP="00763060">
      <w:pPr>
        <w:pStyle w:val="NoSpacing"/>
        <w:jc w:val="both"/>
        <w:rPr>
          <w:rFonts w:ascii="Arial" w:hAnsi="Arial" w:cs="Arial"/>
          <w:i/>
        </w:rPr>
      </w:pPr>
    </w:p>
    <w:p w14:paraId="04FAD550" w14:textId="71F79DD6" w:rsidR="000C6B06" w:rsidRPr="00FE1D79" w:rsidRDefault="000C6B06" w:rsidP="00773320">
      <w:pPr>
        <w:pStyle w:val="NoSpacing"/>
        <w:numPr>
          <w:ilvl w:val="0"/>
          <w:numId w:val="8"/>
        </w:numPr>
        <w:jc w:val="both"/>
        <w:rPr>
          <w:rFonts w:ascii="Arial" w:hAnsi="Arial" w:cs="Arial"/>
          <w:bCs/>
          <w:u w:val="single"/>
        </w:rPr>
      </w:pPr>
      <w:r w:rsidRPr="00FE1D79">
        <w:rPr>
          <w:rFonts w:ascii="Arial" w:hAnsi="Arial" w:cs="Arial"/>
          <w:bCs/>
          <w:u w:val="single"/>
        </w:rPr>
        <w:t>Compassionate Grounds</w:t>
      </w:r>
    </w:p>
    <w:p w14:paraId="25D60720" w14:textId="77777777" w:rsidR="000C6B06" w:rsidRPr="00FE1D79" w:rsidRDefault="000C6B06" w:rsidP="000C6B06">
      <w:pPr>
        <w:pStyle w:val="NoSpacing"/>
        <w:jc w:val="both"/>
        <w:rPr>
          <w:rFonts w:ascii="Arial" w:hAnsi="Arial" w:cs="Arial"/>
          <w:b/>
          <w:u w:val="single"/>
        </w:rPr>
      </w:pPr>
    </w:p>
    <w:p w14:paraId="1EDC1EC9" w14:textId="262BC729" w:rsidR="000C6B06" w:rsidRPr="00FE1D79" w:rsidRDefault="000C6B06" w:rsidP="00564EDB">
      <w:pPr>
        <w:pStyle w:val="NoSpacing"/>
        <w:numPr>
          <w:ilvl w:val="0"/>
          <w:numId w:val="15"/>
        </w:numPr>
        <w:jc w:val="both"/>
        <w:rPr>
          <w:rFonts w:ascii="Arial" w:hAnsi="Arial" w:cs="Arial"/>
        </w:rPr>
      </w:pPr>
      <w:r w:rsidRPr="00FE1D79">
        <w:rPr>
          <w:rFonts w:ascii="Arial" w:hAnsi="Arial" w:cs="Arial"/>
        </w:rPr>
        <w:t>Applications where</w:t>
      </w:r>
      <w:r w:rsidRPr="00FE1D79">
        <w:rPr>
          <w:rFonts w:ascii="Arial" w:hAnsi="Arial" w:cs="Arial"/>
          <w:lang w:val="en-US"/>
        </w:rPr>
        <w:t xml:space="preserve"> the patient has a terminal illness</w:t>
      </w:r>
    </w:p>
    <w:p w14:paraId="7D95B56B" w14:textId="77777777" w:rsidR="000C6B06" w:rsidRPr="00FE1D79" w:rsidRDefault="000C6B06" w:rsidP="000C6B06">
      <w:pPr>
        <w:pStyle w:val="NoSpacing"/>
        <w:jc w:val="both"/>
        <w:rPr>
          <w:rFonts w:ascii="Arial" w:hAnsi="Arial" w:cs="Arial"/>
        </w:rPr>
      </w:pPr>
    </w:p>
    <w:p w14:paraId="735DD71C" w14:textId="77777777" w:rsidR="000C6B06" w:rsidRPr="00FE1D79" w:rsidRDefault="000C6B06" w:rsidP="000C6B06">
      <w:pPr>
        <w:pStyle w:val="NoSpacing"/>
        <w:jc w:val="both"/>
        <w:rPr>
          <w:rFonts w:ascii="Arial" w:hAnsi="Arial" w:cs="Arial"/>
        </w:rPr>
      </w:pPr>
      <w:r w:rsidRPr="00FE1D79">
        <w:rPr>
          <w:rFonts w:ascii="Arial" w:hAnsi="Arial" w:cs="Arial"/>
        </w:rPr>
        <w:t xml:space="preserve">An application must contain evidence from a relevant medical practitioner (usually a Consultant) that the patient has a terminal illness. </w:t>
      </w:r>
    </w:p>
    <w:p w14:paraId="7AB1D316" w14:textId="77777777" w:rsidR="000C6B06" w:rsidRPr="00FE1D79" w:rsidRDefault="000C6B06" w:rsidP="000C6B06">
      <w:pPr>
        <w:pStyle w:val="NoSpacing"/>
        <w:jc w:val="both"/>
        <w:rPr>
          <w:rFonts w:ascii="Arial" w:hAnsi="Arial" w:cs="Arial"/>
          <w:b/>
        </w:rPr>
      </w:pPr>
    </w:p>
    <w:p w14:paraId="12FBE962" w14:textId="77777777" w:rsidR="000C6B06" w:rsidRPr="00FE1D79" w:rsidRDefault="000C6B06" w:rsidP="000C6B06">
      <w:pPr>
        <w:pStyle w:val="NoSpacing"/>
        <w:jc w:val="both"/>
        <w:rPr>
          <w:rFonts w:ascii="Arial" w:hAnsi="Arial" w:cs="Arial"/>
          <w:lang w:val="en-US"/>
        </w:rPr>
      </w:pPr>
      <w:r w:rsidRPr="00FE1D79">
        <w:rPr>
          <w:rFonts w:ascii="Arial" w:hAnsi="Arial" w:cs="Arial"/>
          <w:lang w:val="en-US"/>
        </w:rPr>
        <w:t>To approve an application from a patient, the SoS would need to be satisfied that the patient:</w:t>
      </w:r>
    </w:p>
    <w:p w14:paraId="653507C7" w14:textId="77777777" w:rsidR="000C6B06" w:rsidRPr="00FE1D79" w:rsidRDefault="000C6B06" w:rsidP="000C6B06">
      <w:pPr>
        <w:pStyle w:val="NoSpacing"/>
        <w:jc w:val="both"/>
        <w:rPr>
          <w:rFonts w:ascii="Arial" w:hAnsi="Arial" w:cs="Arial"/>
          <w:lang w:val="en-US"/>
        </w:rPr>
      </w:pPr>
    </w:p>
    <w:p w14:paraId="3E783975" w14:textId="3004A85C" w:rsidR="000C6B06" w:rsidRPr="00FE1D79" w:rsidRDefault="00DE0687" w:rsidP="00417902">
      <w:pPr>
        <w:pStyle w:val="NoSpacing"/>
        <w:numPr>
          <w:ilvl w:val="0"/>
          <w:numId w:val="5"/>
        </w:numPr>
        <w:jc w:val="both"/>
        <w:rPr>
          <w:rFonts w:ascii="Arial" w:hAnsi="Arial" w:cs="Arial"/>
          <w:lang w:val="en-US"/>
        </w:rPr>
      </w:pPr>
      <w:r>
        <w:rPr>
          <w:rFonts w:ascii="Arial" w:hAnsi="Arial" w:cs="Arial"/>
          <w:lang w:val="en-US"/>
        </w:rPr>
        <w:t>h</w:t>
      </w:r>
      <w:r w:rsidR="000C6B06" w:rsidRPr="4CA5B0BF">
        <w:rPr>
          <w:rFonts w:ascii="Arial" w:hAnsi="Arial" w:cs="Arial"/>
          <w:lang w:val="en-US"/>
        </w:rPr>
        <w:t>as a short life expectancy.  There is no hard and fast time frame, but by short it would generally mean a life expectancy of weeks</w:t>
      </w:r>
      <w:r>
        <w:rPr>
          <w:rFonts w:ascii="Arial" w:hAnsi="Arial" w:cs="Arial"/>
          <w:lang w:val="en-US"/>
        </w:rPr>
        <w:t xml:space="preserve">, </w:t>
      </w:r>
      <w:proofErr w:type="spellStart"/>
      <w:r>
        <w:rPr>
          <w:rFonts w:ascii="Arial" w:hAnsi="Arial" w:cs="Arial"/>
          <w:lang w:val="en-US"/>
        </w:rPr>
        <w:t>ie</w:t>
      </w:r>
      <w:proofErr w:type="spellEnd"/>
      <w:r>
        <w:rPr>
          <w:rFonts w:ascii="Arial" w:hAnsi="Arial" w:cs="Arial"/>
          <w:lang w:val="en-US"/>
        </w:rPr>
        <w:t>, less than 3</w:t>
      </w:r>
      <w:r w:rsidR="000C6B06" w:rsidRPr="4CA5B0BF">
        <w:rPr>
          <w:rFonts w:ascii="Arial" w:hAnsi="Arial" w:cs="Arial"/>
          <w:lang w:val="en-US"/>
        </w:rPr>
        <w:t>months</w:t>
      </w:r>
      <w:r>
        <w:rPr>
          <w:rFonts w:ascii="Arial" w:hAnsi="Arial" w:cs="Arial"/>
          <w:lang w:val="en-US"/>
        </w:rPr>
        <w:t>; and</w:t>
      </w:r>
      <w:r w:rsidR="000C6B06" w:rsidRPr="4CA5B0BF">
        <w:rPr>
          <w:rFonts w:ascii="Arial" w:hAnsi="Arial" w:cs="Arial"/>
          <w:lang w:val="en-US"/>
        </w:rPr>
        <w:t xml:space="preserve"> </w:t>
      </w:r>
    </w:p>
    <w:p w14:paraId="25410104" w14:textId="3DBB8BCB" w:rsidR="000C6B06" w:rsidRDefault="00DE0687" w:rsidP="00417902">
      <w:pPr>
        <w:pStyle w:val="NoSpacing"/>
        <w:numPr>
          <w:ilvl w:val="0"/>
          <w:numId w:val="5"/>
        </w:numPr>
        <w:jc w:val="both"/>
        <w:rPr>
          <w:rFonts w:ascii="Arial" w:hAnsi="Arial" w:cs="Arial"/>
          <w:lang w:val="en-US"/>
        </w:rPr>
      </w:pPr>
      <w:r>
        <w:rPr>
          <w:rFonts w:ascii="Arial" w:hAnsi="Arial" w:cs="Arial"/>
          <w:lang w:val="en-US"/>
        </w:rPr>
        <w:t>i</w:t>
      </w:r>
      <w:r w:rsidR="000C6B06" w:rsidRPr="4CA5B0BF">
        <w:rPr>
          <w:rFonts w:ascii="Arial" w:hAnsi="Arial" w:cs="Arial"/>
          <w:lang w:val="en-US"/>
        </w:rPr>
        <w:t xml:space="preserve">s highly unlikely to offend or cause serious harm in the community because they are so severely incapacitated as to be unable to cause harm taking into account that a withdrawal of medication and support intended to control and manage their mental disorder (if applicable) </w:t>
      </w:r>
      <w:r w:rsidR="000C6B06" w:rsidRPr="4CA5B0BF">
        <w:rPr>
          <w:rFonts w:ascii="Arial" w:hAnsi="Arial" w:cs="Arial"/>
          <w:lang w:val="en-US"/>
        </w:rPr>
        <w:lastRenderedPageBreak/>
        <w:t xml:space="preserve">may lead to a relapse and to displays of aggressive </w:t>
      </w:r>
      <w:proofErr w:type="spellStart"/>
      <w:r w:rsidR="000C6B06" w:rsidRPr="4CA5B0BF">
        <w:rPr>
          <w:rFonts w:ascii="Arial" w:hAnsi="Arial" w:cs="Arial"/>
          <w:lang w:val="en-US"/>
        </w:rPr>
        <w:t>behaviour</w:t>
      </w:r>
      <w:proofErr w:type="spellEnd"/>
      <w:r w:rsidR="000C6B06" w:rsidRPr="4CA5B0BF">
        <w:rPr>
          <w:rFonts w:ascii="Arial" w:hAnsi="Arial" w:cs="Arial"/>
          <w:lang w:val="en-US"/>
        </w:rPr>
        <w:t xml:space="preserve"> which may cause distress to others</w:t>
      </w:r>
      <w:r>
        <w:rPr>
          <w:rFonts w:ascii="Arial" w:hAnsi="Arial" w:cs="Arial"/>
          <w:lang w:val="en-US"/>
        </w:rPr>
        <w:t>.</w:t>
      </w:r>
    </w:p>
    <w:p w14:paraId="723C27B1" w14:textId="08CBA12C" w:rsidR="00DE0687" w:rsidRDefault="00DE0687" w:rsidP="00DE0687">
      <w:pPr>
        <w:pStyle w:val="NoSpacing"/>
        <w:jc w:val="both"/>
        <w:rPr>
          <w:rFonts w:ascii="Arial" w:hAnsi="Arial" w:cs="Arial"/>
          <w:lang w:val="en-US"/>
        </w:rPr>
      </w:pPr>
    </w:p>
    <w:p w14:paraId="0FA7F097" w14:textId="67E2CD7D" w:rsidR="00DE0687" w:rsidRDefault="00467F9A" w:rsidP="00467F9A">
      <w:pPr>
        <w:pStyle w:val="NoSpacing"/>
        <w:numPr>
          <w:ilvl w:val="0"/>
          <w:numId w:val="5"/>
        </w:numPr>
        <w:jc w:val="both"/>
        <w:rPr>
          <w:rFonts w:ascii="Arial" w:hAnsi="Arial" w:cs="Arial"/>
          <w:lang w:val="en-US"/>
        </w:rPr>
      </w:pPr>
      <w:r>
        <w:rPr>
          <w:rFonts w:ascii="Arial" w:hAnsi="Arial" w:cs="Arial"/>
          <w:lang w:val="en-US"/>
        </w:rPr>
        <w:t>W</w:t>
      </w:r>
      <w:r w:rsidR="00DE0687">
        <w:rPr>
          <w:rFonts w:ascii="Arial" w:hAnsi="Arial" w:cs="Arial"/>
          <w:lang w:val="en-US"/>
        </w:rPr>
        <w:t xml:space="preserve">hether </w:t>
      </w:r>
      <w:r w:rsidR="00DE0687" w:rsidRPr="4CA5B0BF">
        <w:rPr>
          <w:rFonts w:ascii="Arial" w:hAnsi="Arial" w:cs="Arial"/>
          <w:lang w:val="en-US"/>
        </w:rPr>
        <w:t>those responsible for aftercare have the full knowledge of, and are able to manage, any risks the patient may present because of their mental</w:t>
      </w:r>
      <w:r w:rsidR="00DE0687">
        <w:rPr>
          <w:rFonts w:ascii="Arial" w:hAnsi="Arial" w:cs="Arial"/>
          <w:lang w:val="en-US"/>
        </w:rPr>
        <w:t xml:space="preserve"> disorder. </w:t>
      </w:r>
    </w:p>
    <w:p w14:paraId="3E31DC2E" w14:textId="77777777" w:rsidR="00DE0687" w:rsidRPr="00FE1D79" w:rsidRDefault="00DE0687" w:rsidP="00D2471B">
      <w:pPr>
        <w:pStyle w:val="NoSpacing"/>
        <w:jc w:val="both"/>
        <w:rPr>
          <w:rFonts w:ascii="Arial" w:hAnsi="Arial" w:cs="Arial"/>
          <w:lang w:val="en-US"/>
        </w:rPr>
      </w:pPr>
    </w:p>
    <w:p w14:paraId="68DC958C" w14:textId="77777777" w:rsidR="000C6B06" w:rsidRPr="00FE1D79" w:rsidRDefault="000C6B06" w:rsidP="00467F9A">
      <w:pPr>
        <w:pStyle w:val="NoSpacing"/>
        <w:numPr>
          <w:ilvl w:val="0"/>
          <w:numId w:val="5"/>
        </w:numPr>
        <w:jc w:val="both"/>
        <w:rPr>
          <w:rFonts w:ascii="Arial" w:hAnsi="Arial" w:cs="Arial"/>
          <w:lang w:val="en-US"/>
        </w:rPr>
      </w:pPr>
      <w:r w:rsidRPr="4CA5B0BF">
        <w:rPr>
          <w:rFonts w:ascii="Arial" w:hAnsi="Arial" w:cs="Arial"/>
          <w:lang w:val="en-US"/>
        </w:rPr>
        <w:t>For detained patients, that they cannot be conditionally discharged instead (the first question for the applicant would be why a conditional discharge from hospital is not being sought)</w:t>
      </w:r>
    </w:p>
    <w:p w14:paraId="0CED6970" w14:textId="77777777" w:rsidR="00CE7A10" w:rsidRPr="00FE1D79" w:rsidRDefault="00CE7A10" w:rsidP="00CE7A10">
      <w:pPr>
        <w:pStyle w:val="NoSpacing"/>
        <w:ind w:left="720"/>
        <w:jc w:val="both"/>
        <w:rPr>
          <w:rFonts w:ascii="Arial" w:hAnsi="Arial" w:cs="Arial"/>
          <w:lang w:val="en-US"/>
        </w:rPr>
      </w:pPr>
    </w:p>
    <w:p w14:paraId="76F08ED4" w14:textId="78A2F153" w:rsidR="00CE7A10" w:rsidRPr="00FE1D79" w:rsidRDefault="00CE7A10" w:rsidP="00CE7A10">
      <w:pPr>
        <w:pStyle w:val="NoSpacing"/>
        <w:jc w:val="both"/>
        <w:rPr>
          <w:rFonts w:ascii="Arial" w:hAnsi="Arial" w:cs="Arial"/>
          <w:lang w:val="en-US"/>
        </w:rPr>
      </w:pPr>
      <w:r w:rsidRPr="00FE1D79">
        <w:rPr>
          <w:rFonts w:ascii="Arial" w:hAnsi="Arial" w:cs="Arial"/>
          <w:lang w:val="en-US"/>
        </w:rPr>
        <w:t xml:space="preserve">Applications </w:t>
      </w:r>
      <w:r w:rsidR="00DE0687">
        <w:rPr>
          <w:rFonts w:ascii="Arial" w:hAnsi="Arial" w:cs="Arial"/>
          <w:lang w:val="en-US"/>
        </w:rPr>
        <w:t>for</w:t>
      </w:r>
      <w:r w:rsidRPr="00FE1D79">
        <w:rPr>
          <w:rFonts w:ascii="Arial" w:hAnsi="Arial" w:cs="Arial"/>
          <w:lang w:val="en-US"/>
        </w:rPr>
        <w:t xml:space="preserve"> absolute discharge</w:t>
      </w:r>
      <w:r w:rsidR="00DE0687">
        <w:rPr>
          <w:rFonts w:ascii="Arial" w:hAnsi="Arial" w:cs="Arial"/>
          <w:lang w:val="en-US"/>
        </w:rPr>
        <w:t xml:space="preserve"> based solely on a patient’s wish</w:t>
      </w:r>
      <w:r w:rsidRPr="00FE1D79">
        <w:rPr>
          <w:rFonts w:ascii="Arial" w:hAnsi="Arial" w:cs="Arial"/>
          <w:lang w:val="en-US"/>
        </w:rPr>
        <w:t xml:space="preserve"> to die ‘with dignity’ or ‘a clear conscience’ </w:t>
      </w:r>
      <w:r w:rsidR="00DE0687">
        <w:rPr>
          <w:rFonts w:ascii="Arial" w:hAnsi="Arial" w:cs="Arial"/>
          <w:lang w:val="en-US"/>
        </w:rPr>
        <w:t>will not be approved. Such a wish be the basis for approving absolute discharge, only if the patient’s risk does not need conditions to enable the RC to manage it effectively</w:t>
      </w:r>
      <w:r w:rsidRPr="00FE1D79">
        <w:rPr>
          <w:rFonts w:ascii="Arial" w:hAnsi="Arial" w:cs="Arial"/>
          <w:lang w:val="en-US"/>
        </w:rPr>
        <w:t xml:space="preserve">. </w:t>
      </w:r>
    </w:p>
    <w:p w14:paraId="716213E4" w14:textId="77777777" w:rsidR="000C6B06" w:rsidRPr="00FE1D79" w:rsidRDefault="000C6B06" w:rsidP="000C6B06">
      <w:pPr>
        <w:pStyle w:val="NoSpacing"/>
        <w:jc w:val="both"/>
        <w:rPr>
          <w:rFonts w:ascii="Arial" w:hAnsi="Arial" w:cs="Arial"/>
          <w:lang w:val="en-US"/>
        </w:rPr>
      </w:pPr>
    </w:p>
    <w:p w14:paraId="5AA21194" w14:textId="27451AAE" w:rsidR="000C6B06" w:rsidRPr="00984098" w:rsidRDefault="005F619A" w:rsidP="00773320">
      <w:pPr>
        <w:pStyle w:val="NoSpacing"/>
        <w:ind w:left="360"/>
        <w:jc w:val="both"/>
        <w:rPr>
          <w:rFonts w:ascii="Arial" w:hAnsi="Arial" w:cs="Arial"/>
          <w:lang w:val="en-US"/>
        </w:rPr>
      </w:pPr>
      <w:r>
        <w:rPr>
          <w:rFonts w:ascii="Arial" w:hAnsi="Arial" w:cs="Arial"/>
          <w:lang w:val="en-US"/>
        </w:rPr>
        <w:t xml:space="preserve">(ii) </w:t>
      </w:r>
      <w:r w:rsidR="000C6B06" w:rsidRPr="00984098">
        <w:rPr>
          <w:rFonts w:ascii="Arial" w:hAnsi="Arial" w:cs="Arial"/>
          <w:lang w:val="en-US"/>
        </w:rPr>
        <w:t>Applications where the patient is suffering from another condition</w:t>
      </w:r>
      <w:r w:rsidR="00C42B34" w:rsidRPr="00086EB6">
        <w:rPr>
          <w:rFonts w:ascii="Arial" w:hAnsi="Arial" w:cs="Arial"/>
          <w:lang w:val="en-US"/>
        </w:rPr>
        <w:t xml:space="preserve"> (often a progressive condition)</w:t>
      </w:r>
      <w:r w:rsidR="000C6B06" w:rsidRPr="00CF5847">
        <w:rPr>
          <w:rFonts w:ascii="Arial" w:hAnsi="Arial" w:cs="Arial"/>
          <w:lang w:val="en-US"/>
        </w:rPr>
        <w:t xml:space="preserve"> which will impair their everyday functioning </w:t>
      </w:r>
      <w:r w:rsidR="00DE0687">
        <w:rPr>
          <w:rFonts w:ascii="Arial" w:hAnsi="Arial" w:cs="Arial"/>
          <w:lang w:val="en-US"/>
        </w:rPr>
        <w:t xml:space="preserve">so </w:t>
      </w:r>
      <w:r w:rsidR="00DE0687" w:rsidRPr="00CF5847">
        <w:rPr>
          <w:rFonts w:ascii="Arial" w:hAnsi="Arial" w:cs="Arial"/>
          <w:lang w:val="en-US"/>
        </w:rPr>
        <w:t>seriously</w:t>
      </w:r>
      <w:r w:rsidR="000C6B06" w:rsidRPr="00CF5847">
        <w:rPr>
          <w:rFonts w:ascii="Arial" w:hAnsi="Arial" w:cs="Arial"/>
          <w:lang w:val="en-US"/>
        </w:rPr>
        <w:t xml:space="preserve"> for the rest of their lives</w:t>
      </w:r>
      <w:r w:rsidR="00DE0687">
        <w:rPr>
          <w:rFonts w:ascii="Arial" w:hAnsi="Arial" w:cs="Arial"/>
          <w:lang w:val="en-US"/>
        </w:rPr>
        <w:t>, that</w:t>
      </w:r>
      <w:r w:rsidR="003A52AE" w:rsidRPr="00CF5847">
        <w:rPr>
          <w:rFonts w:ascii="Arial" w:hAnsi="Arial" w:cs="Arial"/>
          <w:lang w:val="en-US"/>
        </w:rPr>
        <w:t xml:space="preserve"> the</w:t>
      </w:r>
      <w:r w:rsidR="00CF4DDB" w:rsidRPr="005F619A">
        <w:rPr>
          <w:rFonts w:ascii="Arial" w:hAnsi="Arial" w:cs="Arial"/>
          <w:lang w:val="en-US"/>
        </w:rPr>
        <w:t xml:space="preserve"> risks associated with their </w:t>
      </w:r>
      <w:r w:rsidR="00CF4DDB" w:rsidRPr="00773320">
        <w:rPr>
          <w:rFonts w:ascii="Arial" w:hAnsi="Arial" w:cs="Arial"/>
          <w:lang w:val="en-US"/>
        </w:rPr>
        <w:t>mental disorder</w:t>
      </w:r>
      <w:r w:rsidR="00984098" w:rsidRPr="00773320">
        <w:rPr>
          <w:rFonts w:ascii="Arial" w:hAnsi="Arial" w:cs="Arial"/>
          <w:lang w:val="en-US"/>
        </w:rPr>
        <w:t xml:space="preserve"> </w:t>
      </w:r>
      <w:r w:rsidR="00984098" w:rsidRPr="00984098">
        <w:rPr>
          <w:rFonts w:ascii="Arial" w:hAnsi="Arial" w:cs="Arial"/>
        </w:rPr>
        <w:t xml:space="preserve">are </w:t>
      </w:r>
      <w:r w:rsidR="00DE0687">
        <w:rPr>
          <w:rFonts w:ascii="Arial" w:hAnsi="Arial" w:cs="Arial"/>
        </w:rPr>
        <w:t>assessed as</w:t>
      </w:r>
      <w:r w:rsidR="00DE0687" w:rsidRPr="00984098">
        <w:rPr>
          <w:rFonts w:ascii="Arial" w:hAnsi="Arial" w:cs="Arial"/>
        </w:rPr>
        <w:t xml:space="preserve"> </w:t>
      </w:r>
      <w:r w:rsidR="00984098" w:rsidRPr="00984098">
        <w:rPr>
          <w:rFonts w:ascii="Arial" w:hAnsi="Arial" w:cs="Arial"/>
        </w:rPr>
        <w:t>negligible</w:t>
      </w:r>
      <w:r w:rsidR="00CF4DDB" w:rsidRPr="00984098">
        <w:rPr>
          <w:rFonts w:ascii="Arial" w:hAnsi="Arial" w:cs="Arial"/>
          <w:lang w:val="en-US"/>
        </w:rPr>
        <w:t>.</w:t>
      </w:r>
    </w:p>
    <w:p w14:paraId="16894F6F" w14:textId="77777777" w:rsidR="000C6B06" w:rsidRPr="00FE1D79" w:rsidRDefault="000C6B06" w:rsidP="000C6B06">
      <w:pPr>
        <w:pStyle w:val="NoSpacing"/>
        <w:jc w:val="both"/>
        <w:rPr>
          <w:rFonts w:ascii="Arial" w:hAnsi="Arial" w:cs="Arial"/>
          <w:lang w:val="en-US"/>
        </w:rPr>
      </w:pPr>
    </w:p>
    <w:p w14:paraId="2CB901AF" w14:textId="77777777" w:rsidR="000C6B06" w:rsidRPr="00FE1D79" w:rsidRDefault="000C6B06" w:rsidP="000C6B06">
      <w:pPr>
        <w:pStyle w:val="NoSpacing"/>
        <w:jc w:val="both"/>
        <w:rPr>
          <w:rFonts w:ascii="Arial" w:hAnsi="Arial" w:cs="Arial"/>
        </w:rPr>
      </w:pPr>
      <w:r w:rsidRPr="00FE1D79">
        <w:rPr>
          <w:rFonts w:ascii="Arial" w:hAnsi="Arial" w:cs="Arial"/>
        </w:rPr>
        <w:t xml:space="preserve">An application must contain evidence from a relevant medical practitioner (usually a Consultant) that the patient has such a condition and will have it for the rest of their lives and which is considered to be ‘incurable’ at this time. </w:t>
      </w:r>
    </w:p>
    <w:p w14:paraId="50825E6E" w14:textId="77777777" w:rsidR="000C6B06" w:rsidRPr="00FE1D79" w:rsidRDefault="000C6B06" w:rsidP="000C6B06">
      <w:pPr>
        <w:pStyle w:val="NoSpacing"/>
        <w:jc w:val="both"/>
        <w:rPr>
          <w:rFonts w:ascii="Arial" w:hAnsi="Arial" w:cs="Arial"/>
          <w:lang w:val="en-US"/>
        </w:rPr>
      </w:pPr>
    </w:p>
    <w:p w14:paraId="346D8338" w14:textId="77777777" w:rsidR="000C6B06" w:rsidRPr="00FE1D79" w:rsidRDefault="000C6B06" w:rsidP="000C6B06">
      <w:pPr>
        <w:pStyle w:val="NoSpacing"/>
        <w:jc w:val="both"/>
        <w:rPr>
          <w:rFonts w:ascii="Arial" w:hAnsi="Arial" w:cs="Arial"/>
          <w:lang w:val="en-US"/>
        </w:rPr>
      </w:pPr>
      <w:r w:rsidRPr="00FE1D79">
        <w:rPr>
          <w:rFonts w:ascii="Arial" w:hAnsi="Arial" w:cs="Arial"/>
          <w:lang w:val="en-US"/>
        </w:rPr>
        <w:t>To approve an application from a patient, the SoS would need to be satisfied that the patient:</w:t>
      </w:r>
    </w:p>
    <w:p w14:paraId="684FCC57" w14:textId="77777777" w:rsidR="000C6B06" w:rsidRPr="00FE1D79" w:rsidRDefault="000C6B06" w:rsidP="000C6B06">
      <w:pPr>
        <w:pStyle w:val="NoSpacing"/>
        <w:jc w:val="both"/>
        <w:rPr>
          <w:rFonts w:ascii="Arial" w:hAnsi="Arial" w:cs="Arial"/>
          <w:lang w:val="en-US"/>
        </w:rPr>
      </w:pPr>
    </w:p>
    <w:p w14:paraId="585F0D01" w14:textId="1447412C" w:rsidR="000C6B06" w:rsidRPr="00FE1D79" w:rsidRDefault="000C6B06" w:rsidP="00417902">
      <w:pPr>
        <w:pStyle w:val="NoSpacing"/>
        <w:numPr>
          <w:ilvl w:val="0"/>
          <w:numId w:val="6"/>
        </w:numPr>
        <w:jc w:val="both"/>
        <w:rPr>
          <w:rFonts w:ascii="Arial" w:hAnsi="Arial" w:cs="Arial"/>
          <w:lang w:val="en-US"/>
        </w:rPr>
      </w:pPr>
      <w:r w:rsidRPr="4CA5B0BF">
        <w:rPr>
          <w:rFonts w:ascii="Arial" w:hAnsi="Arial" w:cs="Arial"/>
          <w:lang w:val="en-US"/>
        </w:rPr>
        <w:t xml:space="preserve">Suffers from a level of physical or mental impairment or functioning which would prevent the patient causing significant harm to others by violent conduct or overtly aggressive </w:t>
      </w:r>
      <w:proofErr w:type="spellStart"/>
      <w:r w:rsidRPr="4CA5B0BF">
        <w:rPr>
          <w:rFonts w:ascii="Arial" w:hAnsi="Arial" w:cs="Arial"/>
          <w:lang w:val="en-US"/>
        </w:rPr>
        <w:t>behaviour</w:t>
      </w:r>
      <w:proofErr w:type="spellEnd"/>
      <w:r w:rsidR="00F60A71">
        <w:rPr>
          <w:rFonts w:ascii="Arial" w:hAnsi="Arial" w:cs="Arial"/>
          <w:lang w:val="en-US"/>
        </w:rPr>
        <w:t>;</w:t>
      </w:r>
    </w:p>
    <w:p w14:paraId="22D92598" w14:textId="38059E01" w:rsidR="000C6B06" w:rsidRPr="00FE1D79" w:rsidRDefault="000C6B06" w:rsidP="00417902">
      <w:pPr>
        <w:pStyle w:val="NoSpacing"/>
        <w:numPr>
          <w:ilvl w:val="0"/>
          <w:numId w:val="6"/>
        </w:numPr>
        <w:jc w:val="both"/>
        <w:rPr>
          <w:rFonts w:ascii="Arial" w:hAnsi="Arial" w:cs="Arial"/>
          <w:lang w:val="en-US"/>
        </w:rPr>
      </w:pPr>
      <w:r w:rsidRPr="4CA5B0BF">
        <w:rPr>
          <w:rFonts w:ascii="Arial" w:hAnsi="Arial" w:cs="Arial"/>
          <w:lang w:val="en-US"/>
        </w:rPr>
        <w:t>Will need treatment or management for the rest of their life and there is currently no known cure for the condition</w:t>
      </w:r>
      <w:r w:rsidR="00A240D7" w:rsidRPr="4CA5B0BF">
        <w:rPr>
          <w:rFonts w:ascii="Arial" w:hAnsi="Arial" w:cs="Arial"/>
          <w:lang w:val="en-US"/>
        </w:rPr>
        <w:t xml:space="preserve"> or may </w:t>
      </w:r>
      <w:r w:rsidRPr="4CA5B0BF">
        <w:rPr>
          <w:rFonts w:ascii="Arial" w:hAnsi="Arial" w:cs="Arial"/>
          <w:lang w:val="en-US"/>
        </w:rPr>
        <w:t xml:space="preserve">be </w:t>
      </w:r>
      <w:r w:rsidR="00A240D7" w:rsidRPr="4CA5B0BF">
        <w:rPr>
          <w:rFonts w:ascii="Arial" w:hAnsi="Arial" w:cs="Arial"/>
          <w:lang w:val="en-US"/>
        </w:rPr>
        <w:t xml:space="preserve">a </w:t>
      </w:r>
      <w:r w:rsidRPr="4CA5B0BF">
        <w:rPr>
          <w:rFonts w:ascii="Arial" w:hAnsi="Arial" w:cs="Arial"/>
          <w:lang w:val="en-US"/>
        </w:rPr>
        <w:t>degenerative</w:t>
      </w:r>
      <w:r w:rsidR="00A240D7" w:rsidRPr="4CA5B0BF">
        <w:rPr>
          <w:rFonts w:ascii="Arial" w:hAnsi="Arial" w:cs="Arial"/>
          <w:lang w:val="en-US"/>
        </w:rPr>
        <w:t xml:space="preserve"> illness</w:t>
      </w:r>
      <w:r w:rsidRPr="4CA5B0BF">
        <w:rPr>
          <w:rFonts w:ascii="Arial" w:hAnsi="Arial" w:cs="Arial"/>
          <w:lang w:val="en-US"/>
        </w:rPr>
        <w:t xml:space="preserve"> such as multiple sclerosis, Parkinson’s disease, or Alzheimer’s disease</w:t>
      </w:r>
      <w:r w:rsidR="007F526C">
        <w:rPr>
          <w:rFonts w:ascii="Arial" w:hAnsi="Arial" w:cs="Arial"/>
          <w:lang w:val="en-US"/>
        </w:rPr>
        <w:t>;</w:t>
      </w:r>
      <w:r w:rsidRPr="4CA5B0BF">
        <w:rPr>
          <w:rFonts w:ascii="Arial" w:hAnsi="Arial" w:cs="Arial"/>
          <w:lang w:val="en-US"/>
        </w:rPr>
        <w:t xml:space="preserve"> </w:t>
      </w:r>
    </w:p>
    <w:p w14:paraId="7F83FD86" w14:textId="4A8B647B" w:rsidR="000C6B06" w:rsidRPr="00FE1D79" w:rsidRDefault="000C6B06" w:rsidP="00417902">
      <w:pPr>
        <w:pStyle w:val="NoSpacing"/>
        <w:numPr>
          <w:ilvl w:val="0"/>
          <w:numId w:val="6"/>
        </w:numPr>
        <w:jc w:val="both"/>
        <w:rPr>
          <w:rFonts w:ascii="Arial" w:hAnsi="Arial" w:cs="Arial"/>
          <w:lang w:val="en-US"/>
        </w:rPr>
      </w:pPr>
      <w:r w:rsidRPr="4CA5B0BF">
        <w:rPr>
          <w:rFonts w:ascii="Arial" w:hAnsi="Arial" w:cs="Arial"/>
          <w:lang w:val="en-US"/>
        </w:rPr>
        <w:t>Was not suffering from this condition, or was undiagnosed, at the time of the index offence and subsequent trial</w:t>
      </w:r>
      <w:r w:rsidR="007F526C">
        <w:rPr>
          <w:rFonts w:ascii="Arial" w:hAnsi="Arial" w:cs="Arial"/>
          <w:lang w:val="en-US"/>
        </w:rPr>
        <w:t>;</w:t>
      </w:r>
      <w:r w:rsidRPr="4CA5B0BF">
        <w:rPr>
          <w:rFonts w:ascii="Arial" w:hAnsi="Arial" w:cs="Arial"/>
          <w:lang w:val="en-US"/>
        </w:rPr>
        <w:t xml:space="preserve"> </w:t>
      </w:r>
    </w:p>
    <w:p w14:paraId="05A1FE8F" w14:textId="77777777" w:rsidR="000C6B06" w:rsidRPr="00FE1D79" w:rsidRDefault="000C6B06" w:rsidP="00417902">
      <w:pPr>
        <w:pStyle w:val="NoSpacing"/>
        <w:numPr>
          <w:ilvl w:val="0"/>
          <w:numId w:val="6"/>
        </w:numPr>
        <w:jc w:val="both"/>
        <w:rPr>
          <w:rFonts w:ascii="Arial" w:hAnsi="Arial" w:cs="Arial"/>
          <w:lang w:val="en-US"/>
        </w:rPr>
      </w:pPr>
      <w:r w:rsidRPr="4CA5B0BF">
        <w:rPr>
          <w:rFonts w:ascii="Arial" w:hAnsi="Arial" w:cs="Arial"/>
          <w:lang w:val="en-US"/>
        </w:rPr>
        <w:t xml:space="preserve">Does not pose an unacceptable risk to others in spite of their illness or condition including whether they are, or will be, so severely incapacitated as to be unable to cause physical harm </w:t>
      </w:r>
    </w:p>
    <w:p w14:paraId="32AF779C" w14:textId="609A8D89" w:rsidR="000C6B06" w:rsidRPr="00FE1D79" w:rsidRDefault="00A031FD" w:rsidP="00417902">
      <w:pPr>
        <w:pStyle w:val="NoSpacing"/>
        <w:numPr>
          <w:ilvl w:val="0"/>
          <w:numId w:val="6"/>
        </w:numPr>
        <w:jc w:val="both"/>
        <w:rPr>
          <w:rFonts w:ascii="Arial" w:hAnsi="Arial" w:cs="Arial"/>
          <w:lang w:val="en-US"/>
        </w:rPr>
      </w:pPr>
      <w:r w:rsidRPr="4CA5B0BF">
        <w:rPr>
          <w:rFonts w:ascii="Arial" w:hAnsi="Arial" w:cs="Arial"/>
          <w:lang w:val="en-US"/>
        </w:rPr>
        <w:t xml:space="preserve">If </w:t>
      </w:r>
      <w:r w:rsidR="000C6B06" w:rsidRPr="4CA5B0BF">
        <w:rPr>
          <w:rFonts w:ascii="Arial" w:hAnsi="Arial" w:cs="Arial"/>
          <w:lang w:val="en-US"/>
        </w:rPr>
        <w:t>medication intended to control their mental disorder</w:t>
      </w:r>
      <w:r w:rsidR="00AC6D11" w:rsidRPr="4CA5B0BF">
        <w:rPr>
          <w:rFonts w:ascii="Arial" w:hAnsi="Arial" w:cs="Arial"/>
          <w:lang w:val="en-US"/>
        </w:rPr>
        <w:t xml:space="preserve"> is withdrawn</w:t>
      </w:r>
      <w:r w:rsidR="000C6B06" w:rsidRPr="4CA5B0BF">
        <w:rPr>
          <w:rFonts w:ascii="Arial" w:hAnsi="Arial" w:cs="Arial"/>
          <w:lang w:val="en-US"/>
        </w:rPr>
        <w:t xml:space="preserve"> (if applicable)</w:t>
      </w:r>
      <w:r w:rsidR="00AC6D11" w:rsidRPr="4CA5B0BF">
        <w:rPr>
          <w:rFonts w:ascii="Arial" w:hAnsi="Arial" w:cs="Arial"/>
          <w:lang w:val="en-US"/>
        </w:rPr>
        <w:t>, that this</w:t>
      </w:r>
      <w:r w:rsidR="000C6B06" w:rsidRPr="4CA5B0BF">
        <w:rPr>
          <w:rFonts w:ascii="Arial" w:hAnsi="Arial" w:cs="Arial"/>
          <w:lang w:val="en-US"/>
        </w:rPr>
        <w:t xml:space="preserve"> will not lead to a relapse and displays of aggressive </w:t>
      </w:r>
      <w:r w:rsidR="00AC6D11" w:rsidRPr="4CA5B0BF">
        <w:rPr>
          <w:rFonts w:ascii="Arial" w:hAnsi="Arial" w:cs="Arial"/>
          <w:lang w:val="en-US"/>
        </w:rPr>
        <w:t xml:space="preserve">or violent </w:t>
      </w:r>
      <w:proofErr w:type="spellStart"/>
      <w:r w:rsidR="000C6B06" w:rsidRPr="4CA5B0BF">
        <w:rPr>
          <w:rFonts w:ascii="Arial" w:hAnsi="Arial" w:cs="Arial"/>
          <w:lang w:val="en-US"/>
        </w:rPr>
        <w:t>behaviour</w:t>
      </w:r>
      <w:proofErr w:type="spellEnd"/>
      <w:r w:rsidR="000C6B06" w:rsidRPr="4CA5B0BF">
        <w:rPr>
          <w:rFonts w:ascii="Arial" w:hAnsi="Arial" w:cs="Arial"/>
          <w:lang w:val="en-US"/>
        </w:rPr>
        <w:t xml:space="preserve"> which may cause distress to others</w:t>
      </w:r>
      <w:r w:rsidR="007F526C">
        <w:rPr>
          <w:rFonts w:ascii="Arial" w:hAnsi="Arial" w:cs="Arial"/>
          <w:lang w:val="en-US"/>
        </w:rPr>
        <w:t>;</w:t>
      </w:r>
    </w:p>
    <w:p w14:paraId="108C7657" w14:textId="30A0FFC6" w:rsidR="000C6B06" w:rsidRPr="00FE1D79" w:rsidRDefault="000C6B06" w:rsidP="00417902">
      <w:pPr>
        <w:pStyle w:val="NoSpacing"/>
        <w:numPr>
          <w:ilvl w:val="0"/>
          <w:numId w:val="6"/>
        </w:numPr>
        <w:jc w:val="both"/>
        <w:rPr>
          <w:rFonts w:ascii="Arial" w:hAnsi="Arial" w:cs="Arial"/>
          <w:lang w:val="en-US"/>
        </w:rPr>
      </w:pPr>
      <w:r w:rsidRPr="4CA5B0BF">
        <w:rPr>
          <w:rFonts w:ascii="Arial" w:hAnsi="Arial" w:cs="Arial"/>
          <w:lang w:val="en-US"/>
        </w:rPr>
        <w:t>Whether those responsible for aftercare have the full knowledge of the risks the patient may present</w:t>
      </w:r>
      <w:r w:rsidR="007F526C">
        <w:rPr>
          <w:rFonts w:ascii="Arial" w:hAnsi="Arial" w:cs="Arial"/>
          <w:lang w:val="en-US"/>
        </w:rPr>
        <w:t>; and</w:t>
      </w:r>
      <w:r w:rsidRPr="4CA5B0BF">
        <w:rPr>
          <w:rFonts w:ascii="Arial" w:hAnsi="Arial" w:cs="Arial"/>
          <w:lang w:val="en-US"/>
        </w:rPr>
        <w:t xml:space="preserve"> </w:t>
      </w:r>
    </w:p>
    <w:p w14:paraId="7FA21486" w14:textId="2B811271" w:rsidR="000C6B06" w:rsidRDefault="000C6B06" w:rsidP="000F31E6">
      <w:pPr>
        <w:pStyle w:val="NoSpacing"/>
        <w:numPr>
          <w:ilvl w:val="0"/>
          <w:numId w:val="6"/>
        </w:numPr>
        <w:jc w:val="both"/>
        <w:rPr>
          <w:rFonts w:ascii="Arial" w:hAnsi="Arial" w:cs="Arial"/>
          <w:lang w:val="en-US"/>
        </w:rPr>
      </w:pPr>
      <w:r w:rsidRPr="4CA5B0BF">
        <w:rPr>
          <w:rFonts w:ascii="Arial" w:hAnsi="Arial" w:cs="Arial"/>
          <w:lang w:val="en-US"/>
        </w:rPr>
        <w:t>Cannot be conditionally discharged (see above)</w:t>
      </w:r>
      <w:r w:rsidR="007F526C">
        <w:rPr>
          <w:rFonts w:ascii="Arial" w:hAnsi="Arial" w:cs="Arial"/>
          <w:lang w:val="en-US"/>
        </w:rPr>
        <w:t>.</w:t>
      </w:r>
    </w:p>
    <w:p w14:paraId="1415DE9D" w14:textId="77777777" w:rsidR="000F31E6" w:rsidRPr="00FE1D79" w:rsidRDefault="000F31E6" w:rsidP="000F31E6">
      <w:pPr>
        <w:pStyle w:val="NoSpacing"/>
        <w:ind w:left="720"/>
        <w:jc w:val="both"/>
        <w:rPr>
          <w:rFonts w:ascii="Arial" w:hAnsi="Arial" w:cs="Arial"/>
          <w:lang w:val="en-US"/>
        </w:rPr>
      </w:pPr>
    </w:p>
    <w:p w14:paraId="07FA5165" w14:textId="1E2B79B1" w:rsidR="000C6B06" w:rsidRPr="008D035F" w:rsidRDefault="000C6B06" w:rsidP="00D6121F">
      <w:pPr>
        <w:pStyle w:val="NoSpacing"/>
        <w:numPr>
          <w:ilvl w:val="0"/>
          <w:numId w:val="8"/>
        </w:numPr>
        <w:jc w:val="both"/>
        <w:rPr>
          <w:rFonts w:ascii="Arial" w:hAnsi="Arial" w:cs="Arial"/>
          <w:bCs/>
          <w:u w:val="single"/>
        </w:rPr>
      </w:pPr>
      <w:r w:rsidRPr="008D035F">
        <w:rPr>
          <w:rFonts w:ascii="Arial" w:hAnsi="Arial" w:cs="Arial"/>
          <w:bCs/>
          <w:u w:val="single"/>
        </w:rPr>
        <w:t xml:space="preserve">Other Applications </w:t>
      </w:r>
    </w:p>
    <w:p w14:paraId="291134C8" w14:textId="77777777" w:rsidR="000C6B06" w:rsidRPr="00FE1D79" w:rsidRDefault="000C6B06" w:rsidP="000C6B06">
      <w:pPr>
        <w:pStyle w:val="NoSpacing"/>
        <w:jc w:val="both"/>
        <w:rPr>
          <w:rFonts w:ascii="Arial" w:hAnsi="Arial" w:cs="Arial"/>
        </w:rPr>
      </w:pPr>
    </w:p>
    <w:p w14:paraId="3C314B1C" w14:textId="78D10645" w:rsidR="001F24A4" w:rsidRDefault="001F24A4" w:rsidP="000C6B06">
      <w:pPr>
        <w:pStyle w:val="NoSpacing"/>
        <w:jc w:val="both"/>
        <w:rPr>
          <w:rFonts w:ascii="Arial" w:hAnsi="Arial" w:cs="Arial"/>
        </w:rPr>
      </w:pPr>
      <w:r>
        <w:rPr>
          <w:rFonts w:ascii="Arial" w:hAnsi="Arial" w:cs="Arial"/>
        </w:rPr>
        <w:t>If the Secretary of State is satisfied that the patient is no longer suffering from a mental disorder</w:t>
      </w:r>
      <w:r w:rsidR="00DE0687">
        <w:rPr>
          <w:rFonts w:ascii="Arial" w:hAnsi="Arial" w:cs="Arial"/>
        </w:rPr>
        <w:t>,</w:t>
      </w:r>
      <w:r>
        <w:rPr>
          <w:rFonts w:ascii="Arial" w:hAnsi="Arial" w:cs="Arial"/>
        </w:rPr>
        <w:t xml:space="preserve"> he should discharge the patient, but the discharge can be conditional or absolute. </w:t>
      </w:r>
      <w:r w:rsidR="00066BF2">
        <w:rPr>
          <w:rFonts w:ascii="Arial" w:hAnsi="Arial" w:cs="Arial"/>
        </w:rPr>
        <w:t>Alongside the individual needs of the patient</w:t>
      </w:r>
      <w:r w:rsidR="00DE0687">
        <w:rPr>
          <w:rFonts w:ascii="Arial" w:hAnsi="Arial" w:cs="Arial"/>
        </w:rPr>
        <w:t>,</w:t>
      </w:r>
      <w:r w:rsidR="00066BF2">
        <w:rPr>
          <w:rFonts w:ascii="Arial" w:hAnsi="Arial" w:cs="Arial"/>
        </w:rPr>
        <w:t xml:space="preserve"> the SoS will continue to </w:t>
      </w:r>
      <w:r w:rsidR="00645642">
        <w:rPr>
          <w:rFonts w:ascii="Arial" w:hAnsi="Arial" w:cs="Arial"/>
        </w:rPr>
        <w:t xml:space="preserve">give due consideration to risk and the </w:t>
      </w:r>
      <w:r w:rsidR="000E7361">
        <w:rPr>
          <w:rFonts w:ascii="Arial" w:hAnsi="Arial" w:cs="Arial"/>
        </w:rPr>
        <w:t xml:space="preserve">duty of public protection. </w:t>
      </w:r>
    </w:p>
    <w:p w14:paraId="110BA6F1" w14:textId="77777777" w:rsidR="001F24A4" w:rsidRDefault="001F24A4" w:rsidP="000C6B06">
      <w:pPr>
        <w:pStyle w:val="NoSpacing"/>
        <w:jc w:val="both"/>
        <w:rPr>
          <w:rFonts w:ascii="Arial" w:hAnsi="Arial" w:cs="Arial"/>
        </w:rPr>
      </w:pPr>
    </w:p>
    <w:p w14:paraId="6CAD4D64" w14:textId="6D896CDC" w:rsidR="000C6B06" w:rsidRPr="00FE1D79" w:rsidRDefault="001F24A4" w:rsidP="000C6B06">
      <w:pPr>
        <w:pStyle w:val="NoSpacing"/>
        <w:jc w:val="both"/>
        <w:rPr>
          <w:rFonts w:ascii="Arial" w:hAnsi="Arial" w:cs="Arial"/>
        </w:rPr>
      </w:pPr>
      <w:r>
        <w:rPr>
          <w:rFonts w:ascii="Arial" w:hAnsi="Arial" w:cs="Arial"/>
        </w:rPr>
        <w:t>The following is not an exhaustive list</w:t>
      </w:r>
      <w:r w:rsidR="005A3976">
        <w:rPr>
          <w:rFonts w:ascii="Arial" w:hAnsi="Arial" w:cs="Arial"/>
        </w:rPr>
        <w:t xml:space="preserve">, however it is indicative of the evidence the Secretary of State will consider </w:t>
      </w:r>
      <w:r w:rsidR="006C66CF">
        <w:rPr>
          <w:rFonts w:ascii="Arial" w:hAnsi="Arial" w:cs="Arial"/>
        </w:rPr>
        <w:t xml:space="preserve">positively </w:t>
      </w:r>
      <w:r w:rsidR="005A3976">
        <w:rPr>
          <w:rFonts w:ascii="Arial" w:hAnsi="Arial" w:cs="Arial"/>
        </w:rPr>
        <w:t xml:space="preserve">when making an assessment of an application for absolute discharge. </w:t>
      </w:r>
    </w:p>
    <w:p w14:paraId="4F7EE74B" w14:textId="0AF025E8" w:rsidR="000C6B06" w:rsidRDefault="000C6B06" w:rsidP="000C6B06">
      <w:pPr>
        <w:pStyle w:val="NoSpacing"/>
        <w:jc w:val="both"/>
        <w:rPr>
          <w:rFonts w:ascii="Arial" w:hAnsi="Arial" w:cs="Arial"/>
        </w:rPr>
      </w:pPr>
    </w:p>
    <w:p w14:paraId="39EAFC8A" w14:textId="25783B30" w:rsidR="005A3976" w:rsidRDefault="00326159" w:rsidP="000C6B06">
      <w:pPr>
        <w:pStyle w:val="NoSpacing"/>
        <w:jc w:val="both"/>
        <w:rPr>
          <w:rFonts w:ascii="Arial" w:hAnsi="Arial" w:cs="Arial"/>
        </w:rPr>
      </w:pPr>
      <w:r>
        <w:rPr>
          <w:rFonts w:ascii="Arial" w:hAnsi="Arial" w:cs="Arial"/>
        </w:rPr>
        <w:t>There must be evidence that t</w:t>
      </w:r>
      <w:r w:rsidR="005A3976">
        <w:rPr>
          <w:rFonts w:ascii="Arial" w:hAnsi="Arial" w:cs="Arial"/>
        </w:rPr>
        <w:t xml:space="preserve">he </w:t>
      </w:r>
      <w:r w:rsidR="005A3976">
        <w:rPr>
          <w:rFonts w:ascii="Arial" w:hAnsi="Arial" w:cs="Arial"/>
          <w:i/>
          <w:iCs/>
        </w:rPr>
        <w:t xml:space="preserve">discharged </w:t>
      </w:r>
      <w:r w:rsidR="005A3976">
        <w:rPr>
          <w:rFonts w:ascii="Arial" w:hAnsi="Arial" w:cs="Arial"/>
        </w:rPr>
        <w:t>patient:</w:t>
      </w:r>
    </w:p>
    <w:p w14:paraId="63EB048C" w14:textId="77777777" w:rsidR="0027012E" w:rsidRPr="005A3976" w:rsidRDefault="0027012E" w:rsidP="000C6B06">
      <w:pPr>
        <w:pStyle w:val="NoSpacing"/>
        <w:jc w:val="both"/>
        <w:rPr>
          <w:rFonts w:ascii="Arial" w:hAnsi="Arial" w:cs="Arial"/>
        </w:rPr>
      </w:pPr>
    </w:p>
    <w:p w14:paraId="527C0CB9" w14:textId="11AD45C8" w:rsidR="000C6B06" w:rsidRPr="00FE1D79" w:rsidRDefault="000C6B06" w:rsidP="00417902">
      <w:pPr>
        <w:pStyle w:val="NoSpacing"/>
        <w:numPr>
          <w:ilvl w:val="0"/>
          <w:numId w:val="7"/>
        </w:numPr>
        <w:jc w:val="both"/>
        <w:rPr>
          <w:rFonts w:ascii="Arial" w:hAnsi="Arial" w:cs="Arial"/>
        </w:rPr>
      </w:pPr>
      <w:r w:rsidRPr="00FE1D79">
        <w:rPr>
          <w:rFonts w:ascii="Arial" w:hAnsi="Arial" w:cs="Arial"/>
          <w:snapToGrid w:val="0"/>
          <w:spacing w:val="-3"/>
        </w:rPr>
        <w:lastRenderedPageBreak/>
        <w:t>Has willingly engaged with treatment and demonstrated an ability to successfully manage the disorder (accepting that most patients remain mentally disordered to some extent) whilst in hospital and in the community</w:t>
      </w:r>
      <w:r w:rsidR="007F526C">
        <w:rPr>
          <w:rFonts w:ascii="Arial" w:hAnsi="Arial" w:cs="Arial"/>
          <w:snapToGrid w:val="0"/>
          <w:spacing w:val="-3"/>
        </w:rPr>
        <w:t>;</w:t>
      </w:r>
    </w:p>
    <w:p w14:paraId="7C01054C" w14:textId="3F5ABD22" w:rsidR="000C6B06" w:rsidRPr="00FE1D79" w:rsidRDefault="000C6B06" w:rsidP="00417902">
      <w:pPr>
        <w:pStyle w:val="NoSpacing"/>
        <w:numPr>
          <w:ilvl w:val="0"/>
          <w:numId w:val="7"/>
        </w:numPr>
        <w:jc w:val="both"/>
        <w:rPr>
          <w:rFonts w:ascii="Arial" w:hAnsi="Arial" w:cs="Arial"/>
        </w:rPr>
      </w:pPr>
      <w:r w:rsidRPr="00FE1D79">
        <w:rPr>
          <w:rFonts w:ascii="Arial" w:hAnsi="Arial" w:cs="Arial"/>
          <w:snapToGrid w:val="0"/>
          <w:spacing w:val="-3"/>
        </w:rPr>
        <w:t>Accepts that s/he does not need to be subject to the (Hospital and) Restriction Order to receive treatment</w:t>
      </w:r>
      <w:r w:rsidR="007F526C">
        <w:rPr>
          <w:rFonts w:ascii="Arial" w:hAnsi="Arial" w:cs="Arial"/>
          <w:snapToGrid w:val="0"/>
          <w:spacing w:val="-3"/>
        </w:rPr>
        <w:t>;</w:t>
      </w:r>
    </w:p>
    <w:p w14:paraId="4E352A9F" w14:textId="17169307" w:rsidR="000C6B06" w:rsidRPr="00FE1D79" w:rsidRDefault="000C6B06" w:rsidP="00417902">
      <w:pPr>
        <w:pStyle w:val="NoSpacing"/>
        <w:numPr>
          <w:ilvl w:val="0"/>
          <w:numId w:val="7"/>
        </w:numPr>
        <w:jc w:val="both"/>
        <w:rPr>
          <w:rFonts w:ascii="Arial" w:hAnsi="Arial" w:cs="Arial"/>
          <w:lang w:val="en-US"/>
        </w:rPr>
      </w:pPr>
      <w:r w:rsidRPr="4CA5B0BF">
        <w:rPr>
          <w:rFonts w:ascii="Arial" w:hAnsi="Arial" w:cs="Arial"/>
          <w:lang w:val="en-US"/>
        </w:rPr>
        <w:t>Has not recently been disruptive because of their disorder</w:t>
      </w:r>
      <w:r w:rsidR="007F526C">
        <w:rPr>
          <w:rFonts w:ascii="Arial" w:hAnsi="Arial" w:cs="Arial"/>
          <w:lang w:val="en-US"/>
        </w:rPr>
        <w:t>;</w:t>
      </w:r>
      <w:r w:rsidRPr="4CA5B0BF">
        <w:rPr>
          <w:rFonts w:ascii="Arial" w:hAnsi="Arial" w:cs="Arial"/>
          <w:lang w:val="en-US"/>
        </w:rPr>
        <w:t xml:space="preserve"> </w:t>
      </w:r>
    </w:p>
    <w:p w14:paraId="68B0F2E5" w14:textId="58132691" w:rsidR="000C6B06" w:rsidRPr="00FE1D79" w:rsidRDefault="000C6B06" w:rsidP="00417902">
      <w:pPr>
        <w:pStyle w:val="NoSpacing"/>
        <w:numPr>
          <w:ilvl w:val="0"/>
          <w:numId w:val="7"/>
        </w:numPr>
        <w:jc w:val="both"/>
        <w:rPr>
          <w:rFonts w:ascii="Arial" w:hAnsi="Arial" w:cs="Arial"/>
        </w:rPr>
      </w:pPr>
      <w:r w:rsidRPr="4CA5B0BF">
        <w:rPr>
          <w:rFonts w:ascii="Arial" w:hAnsi="Arial" w:cs="Arial"/>
          <w:lang w:val="en-US"/>
        </w:rPr>
        <w:t>Understands how the disorder(s) affects them and the sort of risks it creates when control measures are removed</w:t>
      </w:r>
      <w:r w:rsidR="007F526C">
        <w:rPr>
          <w:rFonts w:ascii="Arial" w:hAnsi="Arial" w:cs="Arial"/>
          <w:lang w:val="en-US"/>
        </w:rPr>
        <w:t>;</w:t>
      </w:r>
    </w:p>
    <w:p w14:paraId="676332ED" w14:textId="71BB7D43" w:rsidR="000C6B06" w:rsidRPr="00FE1D79" w:rsidRDefault="000C6B06" w:rsidP="00417902">
      <w:pPr>
        <w:pStyle w:val="NoSpacing"/>
        <w:numPr>
          <w:ilvl w:val="0"/>
          <w:numId w:val="7"/>
        </w:numPr>
        <w:jc w:val="both"/>
        <w:rPr>
          <w:rFonts w:ascii="Arial" w:hAnsi="Arial" w:cs="Arial"/>
        </w:rPr>
      </w:pPr>
      <w:r w:rsidRPr="00FE1D79">
        <w:rPr>
          <w:rFonts w:ascii="Arial" w:hAnsi="Arial" w:cs="Arial"/>
          <w:snapToGrid w:val="0"/>
          <w:spacing w:val="-3"/>
        </w:rPr>
        <w:t>Understands and appreciates the seriousness of the index offence and the link between the disorder and offending</w:t>
      </w:r>
      <w:r w:rsidR="007F526C">
        <w:rPr>
          <w:rFonts w:ascii="Arial" w:hAnsi="Arial" w:cs="Arial"/>
          <w:snapToGrid w:val="0"/>
          <w:spacing w:val="-3"/>
        </w:rPr>
        <w:t>;</w:t>
      </w:r>
    </w:p>
    <w:p w14:paraId="63A591FA" w14:textId="40C16575" w:rsidR="000C6B06" w:rsidRPr="00FE1D79" w:rsidRDefault="000C6B06" w:rsidP="00417902">
      <w:pPr>
        <w:pStyle w:val="NoSpacing"/>
        <w:numPr>
          <w:ilvl w:val="0"/>
          <w:numId w:val="7"/>
        </w:numPr>
        <w:jc w:val="both"/>
        <w:rPr>
          <w:rFonts w:ascii="Arial" w:hAnsi="Arial" w:cs="Arial"/>
        </w:rPr>
      </w:pPr>
      <w:r w:rsidRPr="00FE1D79">
        <w:rPr>
          <w:rFonts w:ascii="Arial" w:hAnsi="Arial" w:cs="Arial"/>
          <w:snapToGrid w:val="0"/>
          <w:spacing w:val="-3"/>
        </w:rPr>
        <w:t>Understands and accepts the need to avoid future offending behaviour and has, in the past, accepted treatment designed to address the circumstances of the index offence)</w:t>
      </w:r>
      <w:r w:rsidR="007F526C">
        <w:rPr>
          <w:rFonts w:ascii="Arial" w:hAnsi="Arial" w:cs="Arial"/>
          <w:snapToGrid w:val="0"/>
          <w:spacing w:val="-3"/>
        </w:rPr>
        <w:t>;</w:t>
      </w:r>
      <w:r w:rsidRPr="00FE1D79">
        <w:rPr>
          <w:rFonts w:ascii="Arial" w:hAnsi="Arial" w:cs="Arial"/>
          <w:snapToGrid w:val="0"/>
          <w:spacing w:val="-3"/>
        </w:rPr>
        <w:t xml:space="preserve"> </w:t>
      </w:r>
    </w:p>
    <w:p w14:paraId="61DE0287" w14:textId="565E058E" w:rsidR="000C6B06" w:rsidRPr="00FE1D79" w:rsidRDefault="000C6B06" w:rsidP="00417902">
      <w:pPr>
        <w:pStyle w:val="NoSpacing"/>
        <w:numPr>
          <w:ilvl w:val="0"/>
          <w:numId w:val="7"/>
        </w:numPr>
        <w:jc w:val="both"/>
        <w:rPr>
          <w:rFonts w:ascii="Arial" w:hAnsi="Arial" w:cs="Arial"/>
        </w:rPr>
      </w:pPr>
      <w:r w:rsidRPr="00FE1D79">
        <w:rPr>
          <w:rFonts w:ascii="Arial" w:hAnsi="Arial" w:cs="Arial"/>
          <w:snapToGrid w:val="0"/>
          <w:spacing w:val="-3"/>
        </w:rPr>
        <w:t>Recognises the harm they caused to victims of the crime and has shown some recognition, remorse or regret</w:t>
      </w:r>
      <w:r w:rsidR="007F526C">
        <w:rPr>
          <w:rFonts w:ascii="Arial" w:hAnsi="Arial" w:cs="Arial"/>
          <w:snapToGrid w:val="0"/>
          <w:spacing w:val="-3"/>
        </w:rPr>
        <w:t>;</w:t>
      </w:r>
    </w:p>
    <w:p w14:paraId="1D13E5AA" w14:textId="7008006F" w:rsidR="000C6B06" w:rsidRPr="00FE1D79" w:rsidRDefault="000C6B06" w:rsidP="00417902">
      <w:pPr>
        <w:pStyle w:val="NoSpacing"/>
        <w:numPr>
          <w:ilvl w:val="0"/>
          <w:numId w:val="7"/>
        </w:numPr>
        <w:jc w:val="both"/>
        <w:rPr>
          <w:rFonts w:ascii="Arial" w:hAnsi="Arial" w:cs="Arial"/>
        </w:rPr>
      </w:pPr>
      <w:r w:rsidRPr="00FE1D79">
        <w:rPr>
          <w:rFonts w:ascii="Arial" w:hAnsi="Arial" w:cs="Arial"/>
          <w:snapToGrid w:val="0"/>
          <w:spacing w:val="-3"/>
        </w:rPr>
        <w:t>Has not attempted to contact the victim(s) of their index offence, or enter exclusion zones where expressly forbidden to do so</w:t>
      </w:r>
      <w:r w:rsidR="007F526C">
        <w:rPr>
          <w:rFonts w:ascii="Arial" w:hAnsi="Arial" w:cs="Arial"/>
          <w:snapToGrid w:val="0"/>
          <w:spacing w:val="-3"/>
        </w:rPr>
        <w:t>;</w:t>
      </w:r>
    </w:p>
    <w:p w14:paraId="1F5E5E76" w14:textId="321B0984" w:rsidR="000C6B06" w:rsidRPr="00FE1D79" w:rsidRDefault="000C6B06" w:rsidP="00417902">
      <w:pPr>
        <w:pStyle w:val="NoSpacing"/>
        <w:numPr>
          <w:ilvl w:val="0"/>
          <w:numId w:val="7"/>
        </w:numPr>
        <w:jc w:val="both"/>
        <w:rPr>
          <w:rFonts w:ascii="Arial" w:hAnsi="Arial" w:cs="Arial"/>
        </w:rPr>
      </w:pPr>
      <w:r w:rsidRPr="00FE1D79">
        <w:rPr>
          <w:rFonts w:ascii="Arial" w:hAnsi="Arial" w:cs="Arial"/>
          <w:snapToGrid w:val="0"/>
          <w:spacing w:val="-3"/>
        </w:rPr>
        <w:t>Is not subject to another form of legal Order or control (SOPO, DOLS, Restraining etc) where the mental disorder featured as part of the reasoning behind its implementation</w:t>
      </w:r>
      <w:r w:rsidR="007F526C">
        <w:rPr>
          <w:rFonts w:ascii="Arial" w:hAnsi="Arial" w:cs="Arial"/>
          <w:snapToGrid w:val="0"/>
          <w:spacing w:val="-3"/>
        </w:rPr>
        <w:t>; and</w:t>
      </w:r>
    </w:p>
    <w:p w14:paraId="025A9516" w14:textId="21310AA0" w:rsidR="000C6B06" w:rsidRPr="00FE1D79" w:rsidRDefault="000C6B06" w:rsidP="00417902">
      <w:pPr>
        <w:pStyle w:val="NoSpacing"/>
        <w:numPr>
          <w:ilvl w:val="0"/>
          <w:numId w:val="7"/>
        </w:numPr>
        <w:jc w:val="both"/>
        <w:rPr>
          <w:rFonts w:ascii="Arial" w:hAnsi="Arial" w:cs="Arial"/>
          <w:lang w:val="en-US"/>
        </w:rPr>
      </w:pPr>
      <w:r w:rsidRPr="4CA5B0BF">
        <w:rPr>
          <w:rFonts w:ascii="Arial" w:hAnsi="Arial" w:cs="Arial"/>
          <w:lang w:val="en-US"/>
        </w:rPr>
        <w:t>Has not been recalled to hospital following conditional discharge, within the last five years</w:t>
      </w:r>
      <w:r w:rsidR="00B003D3">
        <w:rPr>
          <w:rFonts w:ascii="Arial" w:hAnsi="Arial" w:cs="Arial"/>
          <w:lang w:val="en-US"/>
        </w:rPr>
        <w:t>.</w:t>
      </w:r>
    </w:p>
    <w:p w14:paraId="681613A7" w14:textId="77777777" w:rsidR="000C6B06" w:rsidRPr="00FE1D79" w:rsidRDefault="000C6B06" w:rsidP="000C6B06">
      <w:pPr>
        <w:pStyle w:val="NoSpacing"/>
        <w:ind w:left="360"/>
        <w:jc w:val="both"/>
        <w:rPr>
          <w:rFonts w:ascii="Arial" w:hAnsi="Arial" w:cs="Arial"/>
        </w:rPr>
      </w:pPr>
    </w:p>
    <w:p w14:paraId="574982A0" w14:textId="3241DE49" w:rsidR="00C629D3" w:rsidRPr="00FE1D79" w:rsidRDefault="00FC7D30" w:rsidP="00FC7D30">
      <w:pPr>
        <w:pStyle w:val="NoSpacing"/>
        <w:jc w:val="both"/>
        <w:rPr>
          <w:rFonts w:ascii="Arial" w:hAnsi="Arial" w:cs="Arial"/>
          <w:i/>
        </w:rPr>
      </w:pPr>
      <w:r w:rsidRPr="00FE1D79">
        <w:rPr>
          <w:rFonts w:ascii="Arial" w:hAnsi="Arial" w:cs="Arial"/>
        </w:rPr>
        <w:t xml:space="preserve">In </w:t>
      </w:r>
      <w:r w:rsidRPr="0027012E">
        <w:rPr>
          <w:rFonts w:ascii="Arial" w:hAnsi="Arial" w:cs="Arial"/>
          <w:i/>
          <w:iCs/>
        </w:rPr>
        <w:t>addition</w:t>
      </w:r>
      <w:r w:rsidRPr="00FE1D79">
        <w:rPr>
          <w:rFonts w:ascii="Arial" w:hAnsi="Arial" w:cs="Arial"/>
        </w:rPr>
        <w:t xml:space="preserve"> </w:t>
      </w:r>
      <w:r w:rsidR="000C6B06" w:rsidRPr="00FE1D79">
        <w:rPr>
          <w:rFonts w:ascii="Arial" w:hAnsi="Arial" w:cs="Arial"/>
        </w:rPr>
        <w:t>for</w:t>
      </w:r>
      <w:r w:rsidR="0016158C">
        <w:rPr>
          <w:rFonts w:ascii="Arial" w:hAnsi="Arial" w:cs="Arial"/>
        </w:rPr>
        <w:t xml:space="preserve"> a</w:t>
      </w:r>
      <w:r w:rsidR="000C6B06" w:rsidRPr="00FE1D79">
        <w:rPr>
          <w:rFonts w:ascii="Arial" w:hAnsi="Arial" w:cs="Arial"/>
        </w:rPr>
        <w:t xml:space="preserve"> </w:t>
      </w:r>
      <w:r w:rsidR="000C6B06" w:rsidRPr="00FE1D79">
        <w:rPr>
          <w:rFonts w:ascii="Arial" w:hAnsi="Arial" w:cs="Arial"/>
          <w:i/>
        </w:rPr>
        <w:t>detained patient</w:t>
      </w:r>
      <w:r w:rsidRPr="00FE1D79">
        <w:rPr>
          <w:rFonts w:ascii="Arial" w:hAnsi="Arial" w:cs="Arial"/>
          <w:i/>
        </w:rPr>
        <w:t>:</w:t>
      </w:r>
      <w:r w:rsidR="000C6B06" w:rsidRPr="00FE1D79">
        <w:rPr>
          <w:rFonts w:ascii="Arial" w:hAnsi="Arial" w:cs="Arial"/>
          <w:i/>
        </w:rPr>
        <w:t xml:space="preserve"> </w:t>
      </w:r>
    </w:p>
    <w:p w14:paraId="31FCE362" w14:textId="3B08AFB5" w:rsidR="000C6B06" w:rsidRPr="00FE1D79" w:rsidRDefault="000C6B06" w:rsidP="000C6B06">
      <w:pPr>
        <w:pStyle w:val="NoSpacing"/>
        <w:ind w:left="360"/>
        <w:jc w:val="both"/>
        <w:rPr>
          <w:rFonts w:ascii="Arial" w:hAnsi="Arial" w:cs="Arial"/>
          <w:lang w:val="en-US"/>
        </w:rPr>
      </w:pPr>
      <w:r w:rsidRPr="00FE1D79">
        <w:rPr>
          <w:rFonts w:ascii="Arial" w:hAnsi="Arial" w:cs="Arial"/>
          <w:i/>
        </w:rPr>
        <w:t xml:space="preserve"> </w:t>
      </w:r>
    </w:p>
    <w:p w14:paraId="4DABFECB" w14:textId="5408FC26" w:rsidR="000C6B06" w:rsidRPr="00FE1D79" w:rsidRDefault="0016158C" w:rsidP="00417902">
      <w:pPr>
        <w:pStyle w:val="NoSpacing"/>
        <w:numPr>
          <w:ilvl w:val="0"/>
          <w:numId w:val="9"/>
        </w:numPr>
        <w:jc w:val="both"/>
        <w:rPr>
          <w:rFonts w:ascii="Arial" w:hAnsi="Arial" w:cs="Arial"/>
          <w:lang w:val="en-US"/>
        </w:rPr>
      </w:pPr>
      <w:r w:rsidRPr="4CA5B0BF">
        <w:rPr>
          <w:rFonts w:ascii="Arial" w:hAnsi="Arial" w:cs="Arial"/>
        </w:rPr>
        <w:t>That they c</w:t>
      </w:r>
      <w:proofErr w:type="spellStart"/>
      <w:r w:rsidR="000C6B06" w:rsidRPr="4CA5B0BF">
        <w:rPr>
          <w:rFonts w:ascii="Arial" w:hAnsi="Arial" w:cs="Arial"/>
          <w:lang w:val="en-US"/>
        </w:rPr>
        <w:t>annot</w:t>
      </w:r>
      <w:proofErr w:type="spellEnd"/>
      <w:r w:rsidR="000C6B06" w:rsidRPr="4CA5B0BF">
        <w:rPr>
          <w:rFonts w:ascii="Arial" w:hAnsi="Arial" w:cs="Arial"/>
          <w:lang w:val="en-US"/>
        </w:rPr>
        <w:t xml:space="preserve"> be conditionally discharged instead as a first consideration</w:t>
      </w:r>
      <w:r w:rsidR="00B003D3">
        <w:rPr>
          <w:rFonts w:ascii="Arial" w:hAnsi="Arial" w:cs="Arial"/>
          <w:lang w:val="en-US"/>
        </w:rPr>
        <w:t>;</w:t>
      </w:r>
    </w:p>
    <w:p w14:paraId="5A5A8391" w14:textId="77BE1D69" w:rsidR="000C6B06" w:rsidRPr="00FE1D79" w:rsidRDefault="00C629D3" w:rsidP="00417902">
      <w:pPr>
        <w:pStyle w:val="NoSpacing"/>
        <w:numPr>
          <w:ilvl w:val="0"/>
          <w:numId w:val="9"/>
        </w:numPr>
        <w:jc w:val="both"/>
        <w:rPr>
          <w:rFonts w:ascii="Arial" w:hAnsi="Arial" w:cs="Arial"/>
          <w:lang w:val="en-US"/>
        </w:rPr>
      </w:pPr>
      <w:r w:rsidRPr="4CA5B0BF">
        <w:rPr>
          <w:rFonts w:ascii="Arial" w:hAnsi="Arial" w:cs="Arial"/>
          <w:lang w:val="en-US"/>
        </w:rPr>
        <w:t>H</w:t>
      </w:r>
      <w:r w:rsidR="000C6B06" w:rsidRPr="4CA5B0BF">
        <w:rPr>
          <w:rFonts w:ascii="Arial" w:hAnsi="Arial" w:cs="Arial"/>
          <w:lang w:val="en-US"/>
        </w:rPr>
        <w:t>as used community leave without concern</w:t>
      </w:r>
      <w:r w:rsidR="00B003D3">
        <w:rPr>
          <w:rFonts w:ascii="Arial" w:hAnsi="Arial" w:cs="Arial"/>
          <w:lang w:val="en-US"/>
        </w:rPr>
        <w:t>;</w:t>
      </w:r>
    </w:p>
    <w:p w14:paraId="5D763900" w14:textId="12E974C3" w:rsidR="000C6B06" w:rsidRPr="00FE1D79" w:rsidRDefault="000C6B06" w:rsidP="00417902">
      <w:pPr>
        <w:pStyle w:val="NoSpacing"/>
        <w:numPr>
          <w:ilvl w:val="0"/>
          <w:numId w:val="9"/>
        </w:numPr>
        <w:jc w:val="both"/>
        <w:rPr>
          <w:rFonts w:ascii="Arial" w:hAnsi="Arial" w:cs="Arial"/>
          <w:snapToGrid w:val="0"/>
          <w:spacing w:val="-3"/>
        </w:rPr>
      </w:pPr>
      <w:r w:rsidRPr="00FE1D79">
        <w:rPr>
          <w:rFonts w:ascii="Arial" w:hAnsi="Arial" w:cs="Arial"/>
          <w:snapToGrid w:val="0"/>
          <w:spacing w:val="-3"/>
        </w:rPr>
        <w:t>Displays a very low risk of harming others in the future because of their disorder and appreciates what will happen when there is no longer a legal requirement for treatment, supervision and support (including the need to continue with any medication prescribed for the disorder)</w:t>
      </w:r>
      <w:r w:rsidR="00B003D3">
        <w:rPr>
          <w:rFonts w:ascii="Arial" w:hAnsi="Arial" w:cs="Arial"/>
          <w:snapToGrid w:val="0"/>
          <w:spacing w:val="-3"/>
        </w:rPr>
        <w:t>; and</w:t>
      </w:r>
    </w:p>
    <w:p w14:paraId="3C92929E" w14:textId="71714EEC" w:rsidR="00ED2991" w:rsidRPr="00F37044" w:rsidRDefault="000C6B06" w:rsidP="00F37044">
      <w:pPr>
        <w:pStyle w:val="NoSpacing"/>
        <w:numPr>
          <w:ilvl w:val="0"/>
          <w:numId w:val="9"/>
        </w:numPr>
        <w:jc w:val="both"/>
        <w:rPr>
          <w:rFonts w:ascii="Arial" w:hAnsi="Arial" w:cs="Arial"/>
          <w:lang w:val="en-US"/>
        </w:rPr>
      </w:pPr>
      <w:r w:rsidRPr="4CA5B0BF">
        <w:rPr>
          <w:rFonts w:ascii="Arial" w:hAnsi="Arial" w:cs="Arial"/>
          <w:lang w:val="en-US"/>
        </w:rPr>
        <w:t>Cannot have their Restriction Order lifted</w:t>
      </w:r>
      <w:r w:rsidR="00B003D3">
        <w:rPr>
          <w:rFonts w:ascii="Arial" w:hAnsi="Arial" w:cs="Arial"/>
          <w:lang w:val="en-US"/>
        </w:rPr>
        <w:t>.</w:t>
      </w:r>
    </w:p>
    <w:p w14:paraId="2C8BC868" w14:textId="77777777" w:rsidR="000C6B06" w:rsidRPr="004F1077" w:rsidRDefault="000C6B06" w:rsidP="00763060">
      <w:pPr>
        <w:pStyle w:val="NoSpacing"/>
        <w:jc w:val="both"/>
        <w:rPr>
          <w:rFonts w:ascii="Arial" w:hAnsi="Arial" w:cs="Arial"/>
          <w:i/>
          <w:color w:val="0070C0"/>
        </w:rPr>
      </w:pPr>
    </w:p>
    <w:p w14:paraId="208AE898" w14:textId="64282988" w:rsidR="00C54E26" w:rsidRPr="00BE3F22" w:rsidRDefault="00C54E26" w:rsidP="00BE3F22">
      <w:pPr>
        <w:pStyle w:val="NoSpacing"/>
        <w:numPr>
          <w:ilvl w:val="0"/>
          <w:numId w:val="16"/>
        </w:numPr>
        <w:jc w:val="both"/>
        <w:rPr>
          <w:rFonts w:ascii="Arial" w:hAnsi="Arial" w:cs="Arial"/>
          <w:iCs/>
          <w:u w:val="single"/>
        </w:rPr>
      </w:pPr>
      <w:bookmarkStart w:id="6" w:name="Lifting"/>
      <w:r w:rsidRPr="00BE3F22">
        <w:rPr>
          <w:rFonts w:ascii="Arial" w:hAnsi="Arial" w:cs="Arial"/>
          <w:iCs/>
          <w:u w:val="single"/>
        </w:rPr>
        <w:t xml:space="preserve">Lifting the Restriction Order </w:t>
      </w:r>
      <w:r w:rsidR="00032759">
        <w:rPr>
          <w:rFonts w:ascii="Arial" w:hAnsi="Arial" w:cs="Arial"/>
          <w:iCs/>
          <w:u w:val="single"/>
        </w:rPr>
        <w:t>(RO)</w:t>
      </w:r>
    </w:p>
    <w:bookmarkEnd w:id="6"/>
    <w:p w14:paraId="1E3F1C0A" w14:textId="77777777" w:rsidR="00322D3C" w:rsidRPr="008E2489" w:rsidRDefault="00322D3C" w:rsidP="00763060">
      <w:pPr>
        <w:pStyle w:val="NoSpacing"/>
        <w:jc w:val="both"/>
        <w:rPr>
          <w:rFonts w:ascii="Arial" w:hAnsi="Arial" w:cs="Arial"/>
          <w:i/>
        </w:rPr>
      </w:pPr>
    </w:p>
    <w:p w14:paraId="2EBF36C4" w14:textId="6AE5E0FF" w:rsidR="00DD4792" w:rsidRPr="008E2489" w:rsidRDefault="00BE3F22" w:rsidP="00763060">
      <w:pPr>
        <w:pStyle w:val="NoSpacing"/>
        <w:jc w:val="both"/>
        <w:rPr>
          <w:rFonts w:ascii="Arial" w:hAnsi="Arial" w:cs="Arial"/>
          <w:iCs/>
        </w:rPr>
      </w:pPr>
      <w:r>
        <w:rPr>
          <w:rFonts w:ascii="Arial" w:hAnsi="Arial" w:cs="Arial"/>
          <w:iCs/>
        </w:rPr>
        <w:t>7.1</w:t>
      </w:r>
      <w:r>
        <w:rPr>
          <w:rFonts w:ascii="Arial" w:hAnsi="Arial" w:cs="Arial"/>
          <w:iCs/>
        </w:rPr>
        <w:tab/>
      </w:r>
      <w:r w:rsidR="00F06353">
        <w:rPr>
          <w:rFonts w:ascii="Arial" w:hAnsi="Arial" w:cs="Arial"/>
        </w:rPr>
        <w:t>Section 42(1) permits the lifting of a</w:t>
      </w:r>
      <w:r w:rsidR="00F23782">
        <w:rPr>
          <w:rFonts w:ascii="Arial" w:hAnsi="Arial" w:cs="Arial"/>
        </w:rPr>
        <w:t xml:space="preserve"> RO</w:t>
      </w:r>
      <w:r w:rsidR="00F06353" w:rsidRPr="0034160F">
        <w:rPr>
          <w:rFonts w:ascii="Arial" w:hAnsi="Arial" w:cs="Arial"/>
        </w:rPr>
        <w:t xml:space="preserve"> where the SoS is satisfied the restriction order is no longer required for the protection of the public from serious harm.</w:t>
      </w:r>
      <w:r w:rsidR="00F23782">
        <w:rPr>
          <w:rFonts w:ascii="Arial" w:hAnsi="Arial" w:cs="Arial"/>
        </w:rPr>
        <w:t xml:space="preserve"> </w:t>
      </w:r>
      <w:r w:rsidR="00B84456" w:rsidRPr="008E2489">
        <w:rPr>
          <w:rFonts w:ascii="Arial" w:hAnsi="Arial" w:cs="Arial"/>
          <w:iCs/>
        </w:rPr>
        <w:t>Applications to lift the</w:t>
      </w:r>
      <w:r w:rsidR="00CC42F5" w:rsidRPr="008E2489">
        <w:rPr>
          <w:rFonts w:ascii="Arial" w:hAnsi="Arial" w:cs="Arial"/>
          <w:iCs/>
        </w:rPr>
        <w:t xml:space="preserve"> s41</w:t>
      </w:r>
      <w:r w:rsidR="00B84456" w:rsidRPr="008E2489">
        <w:rPr>
          <w:rFonts w:ascii="Arial" w:hAnsi="Arial" w:cs="Arial"/>
          <w:iCs/>
        </w:rPr>
        <w:t xml:space="preserve"> R</w:t>
      </w:r>
      <w:r w:rsidR="00CC42F5" w:rsidRPr="008E2489">
        <w:rPr>
          <w:rFonts w:ascii="Arial" w:hAnsi="Arial" w:cs="Arial"/>
          <w:iCs/>
        </w:rPr>
        <w:t xml:space="preserve">estriction Order </w:t>
      </w:r>
      <w:r w:rsidR="00F06353">
        <w:rPr>
          <w:rFonts w:ascii="Arial" w:hAnsi="Arial" w:cs="Arial"/>
          <w:iCs/>
        </w:rPr>
        <w:t xml:space="preserve">in accordance with section 42(1) </w:t>
      </w:r>
      <w:r w:rsidR="00F06353">
        <w:rPr>
          <w:rFonts w:ascii="Arial" w:hAnsi="Arial" w:cs="Arial"/>
        </w:rPr>
        <w:t xml:space="preserve">will </w:t>
      </w:r>
      <w:r w:rsidR="00F23782">
        <w:rPr>
          <w:rFonts w:ascii="Arial" w:hAnsi="Arial" w:cs="Arial"/>
        </w:rPr>
        <w:t xml:space="preserve">therefore </w:t>
      </w:r>
      <w:r w:rsidR="00F06353">
        <w:rPr>
          <w:rFonts w:ascii="Arial" w:hAnsi="Arial" w:cs="Arial"/>
        </w:rPr>
        <w:t>only be considered</w:t>
      </w:r>
      <w:r w:rsidR="00F06353" w:rsidRPr="00FE1D79">
        <w:rPr>
          <w:rFonts w:ascii="Arial" w:hAnsi="Arial" w:cs="Arial"/>
        </w:rPr>
        <w:t xml:space="preserve"> </w:t>
      </w:r>
      <w:r w:rsidR="00F06353">
        <w:rPr>
          <w:rFonts w:ascii="Arial" w:hAnsi="Arial" w:cs="Arial"/>
        </w:rPr>
        <w:t xml:space="preserve">where </w:t>
      </w:r>
      <w:r w:rsidR="00F06353" w:rsidRPr="00FE1D79">
        <w:rPr>
          <w:rFonts w:ascii="Arial" w:hAnsi="Arial" w:cs="Arial"/>
        </w:rPr>
        <w:t>it is clear that restrictions are no longer required to ensure the patient’s safe management</w:t>
      </w:r>
      <w:r w:rsidR="00F06353">
        <w:rPr>
          <w:rFonts w:ascii="Arial" w:hAnsi="Arial" w:cs="Arial"/>
        </w:rPr>
        <w:t xml:space="preserve"> and where the patient no longer requires the provision of recall</w:t>
      </w:r>
      <w:r w:rsidR="00F06353" w:rsidRPr="00FE1D79">
        <w:rPr>
          <w:rFonts w:ascii="Arial" w:hAnsi="Arial" w:cs="Arial"/>
        </w:rPr>
        <w:t xml:space="preserve">. </w:t>
      </w:r>
      <w:r w:rsidR="006255BA" w:rsidRPr="008E2489">
        <w:rPr>
          <w:rFonts w:ascii="Arial" w:hAnsi="Arial" w:cs="Arial"/>
          <w:iCs/>
        </w:rPr>
        <w:t>The effect of lifting the RO for a detained patient is that they would remain detained in hospital</w:t>
      </w:r>
      <w:r w:rsidR="004A2A87" w:rsidRPr="008E2489">
        <w:rPr>
          <w:rFonts w:ascii="Arial" w:hAnsi="Arial" w:cs="Arial"/>
          <w:iCs/>
        </w:rPr>
        <w:t xml:space="preserve"> as if their original Order was a under s37 only. It would remove the SoS</w:t>
      </w:r>
      <w:r w:rsidR="006B152E" w:rsidRPr="008E2489">
        <w:rPr>
          <w:rFonts w:ascii="Arial" w:hAnsi="Arial" w:cs="Arial"/>
          <w:iCs/>
        </w:rPr>
        <w:t>’s interest and powers over a patient.</w:t>
      </w:r>
      <w:r w:rsidR="00CC42F5" w:rsidRPr="008E2489">
        <w:rPr>
          <w:rFonts w:ascii="Arial" w:hAnsi="Arial" w:cs="Arial"/>
          <w:iCs/>
        </w:rPr>
        <w:t xml:space="preserve"> </w:t>
      </w:r>
      <w:r w:rsidR="006B152E" w:rsidRPr="008E2489">
        <w:rPr>
          <w:rFonts w:ascii="Arial" w:hAnsi="Arial" w:cs="Arial"/>
          <w:iCs/>
        </w:rPr>
        <w:t>For a patient subject to an existing conditional discharge</w:t>
      </w:r>
      <w:r w:rsidR="00032759">
        <w:rPr>
          <w:rFonts w:ascii="Arial" w:hAnsi="Arial" w:cs="Arial"/>
          <w:iCs/>
        </w:rPr>
        <w:t>,</w:t>
      </w:r>
      <w:r w:rsidR="006B152E" w:rsidRPr="008E2489">
        <w:rPr>
          <w:rFonts w:ascii="Arial" w:hAnsi="Arial" w:cs="Arial"/>
          <w:iCs/>
        </w:rPr>
        <w:t xml:space="preserve"> lifting the RO would have the effect of absol</w:t>
      </w:r>
      <w:r w:rsidR="006E6A25" w:rsidRPr="008E2489">
        <w:rPr>
          <w:rFonts w:ascii="Arial" w:hAnsi="Arial" w:cs="Arial"/>
          <w:iCs/>
        </w:rPr>
        <w:t>utely discharging the patient.</w:t>
      </w:r>
    </w:p>
    <w:p w14:paraId="4DDB6258" w14:textId="77777777" w:rsidR="008E2489" w:rsidRDefault="008E2489" w:rsidP="00763060">
      <w:pPr>
        <w:pStyle w:val="NoSpacing"/>
        <w:jc w:val="both"/>
        <w:rPr>
          <w:rFonts w:ascii="Arial" w:hAnsi="Arial" w:cs="Arial"/>
          <w:u w:val="single"/>
        </w:rPr>
      </w:pPr>
    </w:p>
    <w:p w14:paraId="78A4C488" w14:textId="71EB36CB" w:rsidR="00DD4792" w:rsidRPr="007D1726" w:rsidRDefault="00C54E26" w:rsidP="00BE3F22">
      <w:pPr>
        <w:pStyle w:val="NoSpacing"/>
        <w:numPr>
          <w:ilvl w:val="0"/>
          <w:numId w:val="16"/>
        </w:numPr>
        <w:jc w:val="both"/>
        <w:rPr>
          <w:rFonts w:ascii="Arial" w:hAnsi="Arial" w:cs="Arial"/>
          <w:u w:val="single"/>
        </w:rPr>
      </w:pPr>
      <w:bookmarkStart w:id="7" w:name="Patient"/>
      <w:r w:rsidRPr="007D1726">
        <w:rPr>
          <w:rFonts w:ascii="Arial" w:hAnsi="Arial" w:cs="Arial"/>
          <w:u w:val="single"/>
        </w:rPr>
        <w:t>Patient Management</w:t>
      </w:r>
    </w:p>
    <w:bookmarkEnd w:id="7"/>
    <w:p w14:paraId="6414929C" w14:textId="77777777" w:rsidR="00DD4792" w:rsidRPr="00763060" w:rsidRDefault="00DD4792" w:rsidP="00763060">
      <w:pPr>
        <w:pStyle w:val="NoSpacing"/>
        <w:jc w:val="both"/>
        <w:rPr>
          <w:rFonts w:ascii="Arial" w:hAnsi="Arial" w:cs="Arial"/>
        </w:rPr>
      </w:pPr>
    </w:p>
    <w:p w14:paraId="04495898" w14:textId="1D24E8A1" w:rsidR="00DD4792" w:rsidRPr="00763060" w:rsidRDefault="00BE3F22" w:rsidP="00763060">
      <w:pPr>
        <w:pStyle w:val="NoSpacing"/>
        <w:jc w:val="both"/>
        <w:rPr>
          <w:rFonts w:ascii="Arial" w:hAnsi="Arial" w:cs="Arial"/>
        </w:rPr>
      </w:pPr>
      <w:r>
        <w:rPr>
          <w:rFonts w:ascii="Arial" w:hAnsi="Arial" w:cs="Arial"/>
        </w:rPr>
        <w:t>8.1</w:t>
      </w:r>
      <w:r w:rsidR="00DD4792" w:rsidRPr="00763060">
        <w:rPr>
          <w:rFonts w:ascii="Arial" w:hAnsi="Arial" w:cs="Arial"/>
        </w:rPr>
        <w:tab/>
      </w:r>
      <w:r w:rsidR="00350078" w:rsidRPr="00763060">
        <w:rPr>
          <w:rFonts w:ascii="Arial" w:hAnsi="Arial" w:cs="Arial"/>
        </w:rPr>
        <w:t>In considering an application for discharge, MHCS will take into account the plans for the future management and supervision of the patient in the community</w:t>
      </w:r>
      <w:r w:rsidR="00B0162F" w:rsidRPr="00763060">
        <w:rPr>
          <w:rFonts w:ascii="Arial" w:hAnsi="Arial" w:cs="Arial"/>
        </w:rPr>
        <w:t>.</w:t>
      </w:r>
      <w:r w:rsidR="00432F80">
        <w:rPr>
          <w:rFonts w:ascii="Arial" w:hAnsi="Arial" w:cs="Arial"/>
        </w:rPr>
        <w:t xml:space="preserve"> </w:t>
      </w:r>
      <w:r w:rsidR="005F28E1">
        <w:rPr>
          <w:rFonts w:ascii="Arial" w:hAnsi="Arial" w:cs="Arial"/>
        </w:rPr>
        <w:t xml:space="preserve">The SoS will need to be assured that, if conditionally discharged, </w:t>
      </w:r>
      <w:r w:rsidR="0053447E">
        <w:rPr>
          <w:rFonts w:ascii="Arial" w:hAnsi="Arial" w:cs="Arial"/>
        </w:rPr>
        <w:t xml:space="preserve">the patient will </w:t>
      </w:r>
      <w:r w:rsidR="001D7885">
        <w:rPr>
          <w:rFonts w:ascii="Arial" w:hAnsi="Arial" w:cs="Arial"/>
        </w:rPr>
        <w:t>have an appointed multi-disciplinary team led by a RC</w:t>
      </w:r>
      <w:r w:rsidR="008418D1">
        <w:rPr>
          <w:rFonts w:ascii="Arial" w:hAnsi="Arial" w:cs="Arial"/>
        </w:rPr>
        <w:t xml:space="preserve"> </w:t>
      </w:r>
      <w:r w:rsidR="00C611E9">
        <w:rPr>
          <w:rFonts w:ascii="Arial" w:hAnsi="Arial" w:cs="Arial"/>
        </w:rPr>
        <w:t xml:space="preserve">able to effectively and safely supervise them in the community. </w:t>
      </w:r>
    </w:p>
    <w:p w14:paraId="0CD8849B" w14:textId="77777777" w:rsidR="00DD4792" w:rsidRPr="00763060" w:rsidRDefault="00DD4792" w:rsidP="00763060">
      <w:pPr>
        <w:pStyle w:val="NoSpacing"/>
        <w:jc w:val="both"/>
        <w:rPr>
          <w:rFonts w:ascii="Arial" w:hAnsi="Arial" w:cs="Arial"/>
        </w:rPr>
      </w:pPr>
    </w:p>
    <w:p w14:paraId="6963E96D" w14:textId="742CF423" w:rsidR="00DD4792" w:rsidRPr="007D1726" w:rsidRDefault="00DD4792" w:rsidP="00064B90">
      <w:pPr>
        <w:pStyle w:val="NoSpacing"/>
        <w:numPr>
          <w:ilvl w:val="0"/>
          <w:numId w:val="16"/>
        </w:numPr>
        <w:jc w:val="both"/>
        <w:rPr>
          <w:rFonts w:ascii="Arial" w:hAnsi="Arial" w:cs="Arial"/>
          <w:u w:val="single"/>
        </w:rPr>
      </w:pPr>
      <w:bookmarkStart w:id="8" w:name="Victim"/>
      <w:r w:rsidRPr="007D1726">
        <w:rPr>
          <w:rFonts w:ascii="Arial" w:hAnsi="Arial" w:cs="Arial"/>
          <w:u w:val="single"/>
        </w:rPr>
        <w:t>Victim Involvement</w:t>
      </w:r>
    </w:p>
    <w:bookmarkEnd w:id="8"/>
    <w:p w14:paraId="38FEE080" w14:textId="77777777" w:rsidR="00DD4792" w:rsidRPr="00763060" w:rsidRDefault="00DD4792" w:rsidP="00763060">
      <w:pPr>
        <w:pStyle w:val="NoSpacing"/>
        <w:jc w:val="both"/>
        <w:rPr>
          <w:rFonts w:ascii="Arial" w:hAnsi="Arial" w:cs="Arial"/>
        </w:rPr>
      </w:pPr>
    </w:p>
    <w:p w14:paraId="3AFCA835" w14:textId="7CB7DFB4" w:rsidR="007C7D4D" w:rsidRDefault="00064B90" w:rsidP="00763060">
      <w:pPr>
        <w:pStyle w:val="NoSpacing"/>
        <w:jc w:val="both"/>
        <w:rPr>
          <w:rFonts w:ascii="Arial" w:hAnsi="Arial" w:cs="Arial"/>
          <w:lang w:eastAsia="en-GB"/>
        </w:rPr>
      </w:pPr>
      <w:r w:rsidRPr="4CA5B0BF">
        <w:rPr>
          <w:rFonts w:ascii="Arial" w:hAnsi="Arial" w:cs="Arial"/>
          <w:lang w:eastAsia="en-GB"/>
        </w:rPr>
        <w:t>9.1</w:t>
      </w:r>
      <w:r>
        <w:tab/>
      </w:r>
      <w:r w:rsidR="00DD4792" w:rsidRPr="4CA5B0BF">
        <w:rPr>
          <w:rFonts w:ascii="Arial" w:hAnsi="Arial" w:cs="Arial"/>
          <w:lang w:eastAsia="en-GB"/>
        </w:rPr>
        <w:t xml:space="preserve">When considering an application for </w:t>
      </w:r>
      <w:r w:rsidR="00603D36" w:rsidRPr="4CA5B0BF">
        <w:rPr>
          <w:rFonts w:ascii="Arial" w:hAnsi="Arial" w:cs="Arial"/>
          <w:lang w:eastAsia="en-GB"/>
        </w:rPr>
        <w:t xml:space="preserve">conditional </w:t>
      </w:r>
      <w:r w:rsidR="00BD4826" w:rsidRPr="4CA5B0BF">
        <w:rPr>
          <w:rFonts w:ascii="Arial" w:hAnsi="Arial" w:cs="Arial"/>
          <w:lang w:eastAsia="en-GB"/>
        </w:rPr>
        <w:t>discharge</w:t>
      </w:r>
      <w:r w:rsidR="00DD4792" w:rsidRPr="4CA5B0BF">
        <w:rPr>
          <w:rFonts w:ascii="Arial" w:hAnsi="Arial" w:cs="Arial"/>
          <w:lang w:eastAsia="en-GB"/>
        </w:rPr>
        <w:t xml:space="preserve">, the risk assessment will take into account any known victim considerations concerning measures which will help set the conditions of </w:t>
      </w:r>
      <w:r w:rsidR="00CD444C" w:rsidRPr="4CA5B0BF">
        <w:rPr>
          <w:rFonts w:ascii="Arial" w:hAnsi="Arial" w:cs="Arial"/>
          <w:lang w:eastAsia="en-GB"/>
        </w:rPr>
        <w:t>discharge</w:t>
      </w:r>
      <w:r w:rsidR="00DD4792" w:rsidRPr="4CA5B0BF">
        <w:rPr>
          <w:rFonts w:ascii="Arial" w:hAnsi="Arial" w:cs="Arial"/>
          <w:lang w:eastAsia="en-GB"/>
        </w:rPr>
        <w:t xml:space="preserve">. If the victim(s) has engaged with the Victim Contact Scheme (VCS), MHCS will seek </w:t>
      </w:r>
      <w:r w:rsidR="00DD4792" w:rsidRPr="4CA5B0BF">
        <w:rPr>
          <w:rFonts w:ascii="Arial" w:hAnsi="Arial" w:cs="Arial"/>
          <w:lang w:eastAsia="en-GB"/>
        </w:rPr>
        <w:lastRenderedPageBreak/>
        <w:t xml:space="preserve">representations from the </w:t>
      </w:r>
      <w:r w:rsidR="00032759">
        <w:rPr>
          <w:rFonts w:ascii="Arial" w:hAnsi="Arial" w:cs="Arial"/>
          <w:lang w:eastAsia="en-GB"/>
        </w:rPr>
        <w:t>victim’s</w:t>
      </w:r>
      <w:r w:rsidR="00032759" w:rsidRPr="4CA5B0BF">
        <w:rPr>
          <w:rFonts w:ascii="Arial" w:hAnsi="Arial" w:cs="Arial"/>
          <w:lang w:eastAsia="en-GB"/>
        </w:rPr>
        <w:t xml:space="preserve"> </w:t>
      </w:r>
      <w:r w:rsidR="00DD4792" w:rsidRPr="4CA5B0BF">
        <w:rPr>
          <w:rFonts w:ascii="Arial" w:hAnsi="Arial" w:cs="Arial"/>
          <w:lang w:eastAsia="en-GB"/>
        </w:rPr>
        <w:t>Victim Liaison Officer (VLO) when considering an application</w:t>
      </w:r>
      <w:r w:rsidR="00607E5C" w:rsidRPr="4CA5B0BF">
        <w:rPr>
          <w:rFonts w:ascii="Arial" w:hAnsi="Arial" w:cs="Arial"/>
          <w:lang w:eastAsia="en-GB"/>
        </w:rPr>
        <w:t xml:space="preserve">. </w:t>
      </w:r>
      <w:r w:rsidR="00DD4792" w:rsidRPr="4CA5B0BF">
        <w:rPr>
          <w:rFonts w:ascii="Arial" w:hAnsi="Arial" w:cs="Arial"/>
          <w:lang w:eastAsia="en-GB"/>
        </w:rPr>
        <w:t xml:space="preserve">It is anticipated that, where a victim has registered with the VCS, then conversations between the RC and the VLO will already have taken place and recorded on the application form.   MHCS will also notify the VLO where </w:t>
      </w:r>
      <w:r w:rsidR="004A7922" w:rsidRPr="4CA5B0BF">
        <w:rPr>
          <w:rFonts w:ascii="Arial" w:hAnsi="Arial" w:cs="Arial"/>
          <w:lang w:eastAsia="en-GB"/>
        </w:rPr>
        <w:t>discharge</w:t>
      </w:r>
      <w:r w:rsidR="00DD4792" w:rsidRPr="4CA5B0BF">
        <w:rPr>
          <w:rFonts w:ascii="Arial" w:hAnsi="Arial" w:cs="Arial"/>
          <w:lang w:eastAsia="en-GB"/>
        </w:rPr>
        <w:t xml:space="preserve"> is granted (although the VLO may be aware of this through contact with the clinical team). If the VLO is notified that a patient has been </w:t>
      </w:r>
      <w:r w:rsidR="00603D36" w:rsidRPr="4CA5B0BF">
        <w:rPr>
          <w:rFonts w:ascii="Arial" w:hAnsi="Arial" w:cs="Arial"/>
          <w:lang w:eastAsia="en-GB"/>
        </w:rPr>
        <w:t>discharged</w:t>
      </w:r>
      <w:r w:rsidR="00DD4792" w:rsidRPr="4CA5B0BF">
        <w:rPr>
          <w:rFonts w:ascii="Arial" w:hAnsi="Arial" w:cs="Arial"/>
          <w:lang w:eastAsia="en-GB"/>
        </w:rPr>
        <w:t xml:space="preserve">, it will be on the understanding that </w:t>
      </w:r>
      <w:r w:rsidR="00603D36" w:rsidRPr="4CA5B0BF">
        <w:rPr>
          <w:rFonts w:ascii="Arial" w:hAnsi="Arial" w:cs="Arial"/>
          <w:lang w:eastAsia="en-GB"/>
        </w:rPr>
        <w:t>patient’s location</w:t>
      </w:r>
      <w:r w:rsidR="006E5E76" w:rsidRPr="4CA5B0BF">
        <w:rPr>
          <w:rFonts w:ascii="Arial" w:hAnsi="Arial" w:cs="Arial"/>
          <w:lang w:eastAsia="en-GB"/>
        </w:rPr>
        <w:t xml:space="preserve"> will</w:t>
      </w:r>
      <w:r w:rsidR="00DD4792" w:rsidRPr="4CA5B0BF">
        <w:rPr>
          <w:rFonts w:ascii="Arial" w:hAnsi="Arial" w:cs="Arial"/>
          <w:lang w:eastAsia="en-GB"/>
        </w:rPr>
        <w:t xml:space="preserve"> not be disclosed to the victim.</w:t>
      </w:r>
    </w:p>
    <w:p w14:paraId="7A26A188" w14:textId="176BBE90" w:rsidR="007D1726" w:rsidRPr="00763060" w:rsidRDefault="007D1726" w:rsidP="4CA5B0BF">
      <w:pPr>
        <w:pStyle w:val="NoSpacing"/>
        <w:jc w:val="both"/>
        <w:rPr>
          <w:rFonts w:ascii="Arial" w:hAnsi="Arial" w:cs="Arial"/>
          <w:lang w:eastAsia="en-GB"/>
        </w:rPr>
      </w:pPr>
    </w:p>
    <w:p w14:paraId="2D191C8F" w14:textId="38A8C7B5" w:rsidR="00816C9D" w:rsidRDefault="00064B90" w:rsidP="00763060">
      <w:pPr>
        <w:pStyle w:val="NoSpacing"/>
        <w:jc w:val="both"/>
        <w:rPr>
          <w:rFonts w:ascii="Arial" w:hAnsi="Arial" w:cs="Arial"/>
          <w:lang w:eastAsia="en-GB"/>
        </w:rPr>
      </w:pPr>
      <w:r>
        <w:rPr>
          <w:rFonts w:ascii="Arial" w:hAnsi="Arial" w:cs="Arial"/>
          <w:lang w:eastAsia="en-GB"/>
        </w:rPr>
        <w:t>9.2</w:t>
      </w:r>
      <w:r w:rsidR="007C7D4D" w:rsidRPr="00763060">
        <w:rPr>
          <w:rFonts w:ascii="Arial" w:hAnsi="Arial" w:cs="Arial"/>
          <w:lang w:eastAsia="en-GB"/>
        </w:rPr>
        <w:t xml:space="preserve"> </w:t>
      </w:r>
      <w:r w:rsidR="007C7D4D" w:rsidRPr="00763060">
        <w:rPr>
          <w:rFonts w:ascii="Arial" w:hAnsi="Arial" w:cs="Arial"/>
          <w:lang w:eastAsia="en-GB"/>
        </w:rPr>
        <w:tab/>
        <w:t xml:space="preserve">When considering an application for </w:t>
      </w:r>
      <w:r w:rsidR="00EC38A2" w:rsidRPr="00763060">
        <w:rPr>
          <w:rFonts w:ascii="Arial" w:hAnsi="Arial" w:cs="Arial"/>
          <w:lang w:eastAsia="en-GB"/>
        </w:rPr>
        <w:t xml:space="preserve">absolute discharge or the lifting of the Restriction Order, MHCS will </w:t>
      </w:r>
      <w:r w:rsidR="0038261A" w:rsidRPr="00763060">
        <w:rPr>
          <w:rFonts w:ascii="Arial" w:hAnsi="Arial" w:cs="Arial"/>
          <w:lang w:eastAsia="en-GB"/>
        </w:rPr>
        <w:t>notify victims through their VLO before a final decision is taken.</w:t>
      </w:r>
    </w:p>
    <w:p w14:paraId="6ADACC08" w14:textId="77777777" w:rsidR="007D1726" w:rsidRPr="00763060" w:rsidRDefault="007D1726" w:rsidP="00763060">
      <w:pPr>
        <w:pStyle w:val="NoSpacing"/>
        <w:jc w:val="both"/>
        <w:rPr>
          <w:rFonts w:ascii="Arial" w:hAnsi="Arial" w:cs="Arial"/>
          <w:lang w:eastAsia="en-GB"/>
        </w:rPr>
      </w:pPr>
    </w:p>
    <w:p w14:paraId="746D526E" w14:textId="618041AB" w:rsidR="00DD4792" w:rsidRPr="006D494F" w:rsidRDefault="00064B90" w:rsidP="00763060">
      <w:pPr>
        <w:pStyle w:val="NoSpacing"/>
        <w:jc w:val="both"/>
        <w:rPr>
          <w:rFonts w:ascii="Arial" w:hAnsi="Arial" w:cs="Arial"/>
          <w:color w:val="7030A0"/>
        </w:rPr>
      </w:pPr>
      <w:r>
        <w:rPr>
          <w:rFonts w:ascii="Arial" w:hAnsi="Arial" w:cs="Arial"/>
        </w:rPr>
        <w:t>9.3</w:t>
      </w:r>
      <w:r w:rsidR="00DD4792" w:rsidRPr="00763060">
        <w:rPr>
          <w:rFonts w:ascii="Arial" w:hAnsi="Arial" w:cs="Arial"/>
        </w:rPr>
        <w:tab/>
        <w:t xml:space="preserve">RCs are encouraged to develop and maintain their own contacts with the VLO and inform or consult them at important points during the patient’s journey towards discharge notably any conditions the victims would wish to attach to any authorisation (see </w:t>
      </w:r>
      <w:hyperlink r:id="rId29" w:history="1">
        <w:r w:rsidR="00DD4792" w:rsidRPr="006D494F">
          <w:rPr>
            <w:rStyle w:val="Hyperlink"/>
            <w:rFonts w:ascii="Arial" w:hAnsi="Arial" w:cs="Arial"/>
            <w:color w:val="7030A0"/>
          </w:rPr>
          <w:t>guidance for clinicians</w:t>
        </w:r>
      </w:hyperlink>
      <w:r w:rsidR="00DD4792" w:rsidRPr="00763060">
        <w:rPr>
          <w:rFonts w:ascii="Arial" w:hAnsi="Arial" w:cs="Arial"/>
        </w:rPr>
        <w:t xml:space="preserve"> and </w:t>
      </w:r>
      <w:hyperlink r:id="rId30" w:history="1">
        <w:r w:rsidR="00DD4792" w:rsidRPr="006D494F">
          <w:rPr>
            <w:rStyle w:val="Hyperlink"/>
            <w:rFonts w:ascii="Arial" w:hAnsi="Arial" w:cs="Arial"/>
            <w:color w:val="7030A0"/>
          </w:rPr>
          <w:t>The Victims Code</w:t>
        </w:r>
      </w:hyperlink>
      <w:r w:rsidR="00DD4792" w:rsidRPr="006D494F">
        <w:rPr>
          <w:rFonts w:ascii="Arial" w:hAnsi="Arial" w:cs="Arial"/>
          <w:color w:val="7030A0"/>
        </w:rPr>
        <w:t>).</w:t>
      </w:r>
    </w:p>
    <w:p w14:paraId="2100408C" w14:textId="77777777" w:rsidR="00DD4792" w:rsidRPr="00763060" w:rsidRDefault="00DD4792" w:rsidP="00763060">
      <w:pPr>
        <w:pStyle w:val="NoSpacing"/>
        <w:jc w:val="both"/>
        <w:rPr>
          <w:rFonts w:ascii="Arial" w:hAnsi="Arial" w:cs="Arial"/>
        </w:rPr>
      </w:pPr>
    </w:p>
    <w:p w14:paraId="21B8F4A2" w14:textId="09914A26" w:rsidR="00DD4792" w:rsidRPr="00763060" w:rsidRDefault="00064B90" w:rsidP="00763060">
      <w:pPr>
        <w:pStyle w:val="NoSpacing"/>
        <w:jc w:val="both"/>
        <w:rPr>
          <w:rFonts w:ascii="Arial" w:hAnsi="Arial" w:cs="Arial"/>
        </w:rPr>
      </w:pPr>
      <w:r>
        <w:rPr>
          <w:rFonts w:ascii="Arial" w:hAnsi="Arial" w:cs="Arial"/>
        </w:rPr>
        <w:t>9.4</w:t>
      </w:r>
      <w:r w:rsidR="00DD4792" w:rsidRPr="00763060">
        <w:rPr>
          <w:rFonts w:ascii="Arial" w:hAnsi="Arial" w:cs="Arial"/>
        </w:rPr>
        <w:tab/>
        <w:t xml:space="preserve">If conditions requested by victims cannot be incorporated into the </w:t>
      </w:r>
      <w:r w:rsidR="00313068" w:rsidRPr="00763060">
        <w:rPr>
          <w:rFonts w:ascii="Arial" w:hAnsi="Arial" w:cs="Arial"/>
        </w:rPr>
        <w:t>discharge</w:t>
      </w:r>
      <w:r w:rsidR="00DD4792" w:rsidRPr="00763060">
        <w:rPr>
          <w:rFonts w:ascii="Arial" w:hAnsi="Arial" w:cs="Arial"/>
        </w:rPr>
        <w:t xml:space="preserve"> as proposed, then MHCS will explain the reasons why these have been rejected or amended to the VLO. </w:t>
      </w:r>
    </w:p>
    <w:p w14:paraId="4F8DA00D" w14:textId="6776BC53" w:rsidR="00DD4792" w:rsidRDefault="00DD4792" w:rsidP="00763060">
      <w:pPr>
        <w:pStyle w:val="NoSpacing"/>
        <w:jc w:val="both"/>
        <w:rPr>
          <w:rFonts w:ascii="Arial" w:hAnsi="Arial" w:cs="Arial"/>
        </w:rPr>
      </w:pPr>
    </w:p>
    <w:p w14:paraId="0741EB37" w14:textId="7CE4C2BF" w:rsidR="00DD4792" w:rsidRPr="007D1726" w:rsidRDefault="00DD4792" w:rsidP="00064B90">
      <w:pPr>
        <w:pStyle w:val="NoSpacing"/>
        <w:numPr>
          <w:ilvl w:val="0"/>
          <w:numId w:val="16"/>
        </w:numPr>
        <w:jc w:val="both"/>
        <w:rPr>
          <w:rFonts w:ascii="Arial" w:hAnsi="Arial" w:cs="Arial"/>
          <w:u w:val="single"/>
        </w:rPr>
      </w:pPr>
      <w:bookmarkStart w:id="9" w:name="MAPPA"/>
      <w:r w:rsidRPr="007D1726">
        <w:rPr>
          <w:rFonts w:ascii="Arial" w:hAnsi="Arial" w:cs="Arial"/>
          <w:u w:val="single"/>
        </w:rPr>
        <w:t>Multi-Agency Public Protection Arrangements (MAPPA)</w:t>
      </w:r>
    </w:p>
    <w:bookmarkEnd w:id="9"/>
    <w:p w14:paraId="60140AFE" w14:textId="77777777" w:rsidR="007D1726" w:rsidRDefault="007D1726" w:rsidP="00763060">
      <w:pPr>
        <w:pStyle w:val="NoSpacing"/>
        <w:jc w:val="both"/>
        <w:rPr>
          <w:rFonts w:ascii="Arial" w:hAnsi="Arial" w:cs="Arial"/>
        </w:rPr>
      </w:pPr>
    </w:p>
    <w:p w14:paraId="42BA27E8" w14:textId="2EE4B6D0" w:rsidR="00DD4792" w:rsidRDefault="00F244F0" w:rsidP="00763060">
      <w:pPr>
        <w:pStyle w:val="NoSpacing"/>
        <w:jc w:val="both"/>
        <w:rPr>
          <w:rFonts w:ascii="Arial" w:hAnsi="Arial" w:cs="Arial"/>
        </w:rPr>
      </w:pPr>
      <w:r>
        <w:rPr>
          <w:rFonts w:ascii="Arial" w:hAnsi="Arial" w:cs="Arial"/>
        </w:rPr>
        <w:t>10</w:t>
      </w:r>
      <w:r w:rsidR="00DD4792" w:rsidRPr="00763060">
        <w:rPr>
          <w:rFonts w:ascii="Arial" w:hAnsi="Arial" w:cs="Arial"/>
        </w:rPr>
        <w:t>.1</w:t>
      </w:r>
      <w:r w:rsidR="00DD4792" w:rsidRPr="00763060">
        <w:rPr>
          <w:rFonts w:ascii="Arial" w:hAnsi="Arial" w:cs="Arial"/>
        </w:rPr>
        <w:tab/>
        <w:t xml:space="preserve">MAPPA is the set of arrangements through which the Police, </w:t>
      </w:r>
      <w:r w:rsidR="00DD4792" w:rsidRPr="00675C57">
        <w:rPr>
          <w:rFonts w:ascii="Arial" w:hAnsi="Arial" w:cs="Arial"/>
        </w:rPr>
        <w:t xml:space="preserve">Probation and Prison Services work together with other agencies to manage the risks posed by violent and sexual offenders and other offenders deemed dangerous living in the community in order to protect the public. The arrangements for Mentally Disordered Offenders are set out in chapter 26 of the </w:t>
      </w:r>
      <w:hyperlink r:id="rId31" w:history="1">
        <w:r w:rsidR="00DD4792" w:rsidRPr="00675C57">
          <w:rPr>
            <w:rStyle w:val="Hyperlink"/>
            <w:rFonts w:ascii="Arial" w:hAnsi="Arial" w:cs="Arial"/>
            <w:color w:val="7030A0"/>
          </w:rPr>
          <w:t>MAPPA guidance</w:t>
        </w:r>
      </w:hyperlink>
      <w:r w:rsidR="00DD4792" w:rsidRPr="00675C57">
        <w:rPr>
          <w:rFonts w:ascii="Arial" w:hAnsi="Arial" w:cs="Arial"/>
        </w:rPr>
        <w:t>.</w:t>
      </w:r>
      <w:r w:rsidR="00352758" w:rsidRPr="00675C57">
        <w:rPr>
          <w:rFonts w:ascii="Arial" w:hAnsi="Arial" w:cs="Arial"/>
        </w:rPr>
        <w:t xml:space="preserve"> In addition, MHCS has issued dedicated guidance</w:t>
      </w:r>
      <w:r w:rsidR="00AC3665" w:rsidRPr="00675C57">
        <w:rPr>
          <w:rFonts w:ascii="Arial" w:hAnsi="Arial" w:cs="Arial"/>
        </w:rPr>
        <w:t xml:space="preserve"> on MAPPA which can be found</w:t>
      </w:r>
      <w:r w:rsidR="00675C57" w:rsidRPr="00675C57">
        <w:rPr>
          <w:rFonts w:ascii="Arial" w:hAnsi="Arial" w:cs="Arial"/>
        </w:rPr>
        <w:t xml:space="preserve"> </w:t>
      </w:r>
      <w:hyperlink r:id="rId32" w:history="1">
        <w:r w:rsidR="00675C57" w:rsidRPr="006D494F">
          <w:rPr>
            <w:rStyle w:val="Hyperlink"/>
            <w:rFonts w:ascii="Arial" w:hAnsi="Arial" w:cs="Arial"/>
            <w:color w:val="7030A0"/>
          </w:rPr>
          <w:t>here</w:t>
        </w:r>
      </w:hyperlink>
      <w:r w:rsidR="00675C57" w:rsidRPr="00675C57">
        <w:rPr>
          <w:rFonts w:ascii="Arial" w:hAnsi="Arial" w:cs="Arial"/>
        </w:rPr>
        <w:t>.</w:t>
      </w:r>
      <w:r w:rsidR="00DD4792" w:rsidRPr="00675C57">
        <w:rPr>
          <w:rFonts w:ascii="Arial" w:hAnsi="Arial" w:cs="Arial"/>
        </w:rPr>
        <w:t xml:space="preserve"> Due to the type and nature of the offences committed by restricted patients, it is likely that almost all s37/41 and s45A patients will be MAPPA eligible though, depending on the age of the offence, they may not all be covered. </w:t>
      </w:r>
      <w:r w:rsidR="001A2F4C">
        <w:rPr>
          <w:rFonts w:ascii="Arial" w:hAnsi="Arial" w:cs="Arial"/>
        </w:rPr>
        <w:t>However, o</w:t>
      </w:r>
      <w:r w:rsidR="005F1230">
        <w:rPr>
          <w:rFonts w:ascii="Arial" w:hAnsi="Arial" w:cs="Arial"/>
        </w:rPr>
        <w:t xml:space="preserve">ffenders who have committed an offence </w:t>
      </w:r>
      <w:r w:rsidR="005F1230" w:rsidRPr="003004E7">
        <w:rPr>
          <w:rFonts w:ascii="Arial" w:hAnsi="Arial" w:cs="Arial"/>
        </w:rPr>
        <w:t>murder or an offence under s.327(4A) or sch.15 of the Criminal Justice Act 2003</w:t>
      </w:r>
      <w:r w:rsidR="005F1230">
        <w:rPr>
          <w:rFonts w:ascii="Arial" w:hAnsi="Arial" w:cs="Arial"/>
        </w:rPr>
        <w:t xml:space="preserve"> are automatically eligible for MAPPA management. Others may be referred on a discretionary basis it the level of risk and need requires multi agency panel oversight. </w:t>
      </w:r>
      <w:r w:rsidR="00DD4792" w:rsidRPr="00675C57">
        <w:rPr>
          <w:rFonts w:ascii="Arial" w:hAnsi="Arial" w:cs="Arial"/>
        </w:rPr>
        <w:t>It is the responsibility of the hospital to ensure their records are accurate as there is no central list of MAPPA registered offenders.  Some s47/49 transferred prisoners may also be MAPPA</w:t>
      </w:r>
      <w:r w:rsidR="00DD4792" w:rsidRPr="00763060">
        <w:rPr>
          <w:rFonts w:ascii="Arial" w:hAnsi="Arial" w:cs="Arial"/>
        </w:rPr>
        <w:t xml:space="preserve"> eligible and registered.</w:t>
      </w:r>
    </w:p>
    <w:p w14:paraId="303B91B0" w14:textId="77777777" w:rsidR="00151F69" w:rsidRPr="00763060" w:rsidRDefault="00151F69" w:rsidP="00763060">
      <w:pPr>
        <w:pStyle w:val="NoSpacing"/>
        <w:jc w:val="both"/>
        <w:rPr>
          <w:rFonts w:ascii="Arial" w:hAnsi="Arial" w:cs="Arial"/>
        </w:rPr>
      </w:pPr>
    </w:p>
    <w:p w14:paraId="41CD0214" w14:textId="5EA0B0F2" w:rsidR="00DD4792" w:rsidRPr="00763060" w:rsidRDefault="00F244F0" w:rsidP="00763060">
      <w:pPr>
        <w:pStyle w:val="NoSpacing"/>
        <w:jc w:val="both"/>
        <w:rPr>
          <w:rFonts w:ascii="Arial" w:hAnsi="Arial" w:cs="Arial"/>
        </w:rPr>
      </w:pPr>
      <w:r>
        <w:rPr>
          <w:rFonts w:ascii="Arial" w:hAnsi="Arial" w:cs="Arial"/>
        </w:rPr>
        <w:t>10.2</w:t>
      </w:r>
      <w:r w:rsidR="00DD4792" w:rsidRPr="00763060">
        <w:rPr>
          <w:rFonts w:ascii="Arial" w:hAnsi="Arial" w:cs="Arial"/>
        </w:rPr>
        <w:tab/>
        <w:t xml:space="preserve">In all cases where </w:t>
      </w:r>
      <w:r w:rsidR="0016601E" w:rsidRPr="00763060">
        <w:rPr>
          <w:rFonts w:ascii="Arial" w:hAnsi="Arial" w:cs="Arial"/>
        </w:rPr>
        <w:t>discharge</w:t>
      </w:r>
      <w:r w:rsidR="00DD4792" w:rsidRPr="00763060">
        <w:rPr>
          <w:rFonts w:ascii="Arial" w:hAnsi="Arial" w:cs="Arial"/>
        </w:rPr>
        <w:t xml:space="preserve"> has been granted by the SoS</w:t>
      </w:r>
      <w:r w:rsidR="00816C9D" w:rsidRPr="00763060">
        <w:rPr>
          <w:rFonts w:ascii="Arial" w:hAnsi="Arial" w:cs="Arial"/>
        </w:rPr>
        <w:t>,</w:t>
      </w:r>
      <w:r w:rsidR="00DD4792" w:rsidRPr="00763060">
        <w:rPr>
          <w:rFonts w:ascii="Arial" w:hAnsi="Arial" w:cs="Arial"/>
        </w:rPr>
        <w:t xml:space="preserve"> the MAPPA coordinator should be notified by the hospital so they are aware of the position.</w:t>
      </w:r>
    </w:p>
    <w:p w14:paraId="1F54FE46" w14:textId="77777777" w:rsidR="008A60C5" w:rsidRPr="00173841" w:rsidRDefault="008A60C5" w:rsidP="00173841">
      <w:pPr>
        <w:pStyle w:val="NoSpacing"/>
      </w:pPr>
    </w:p>
    <w:p w14:paraId="79730E86" w14:textId="77777777" w:rsidR="00323D71" w:rsidRDefault="00323D71" w:rsidP="00173841">
      <w:pPr>
        <w:pStyle w:val="NoSpacing"/>
      </w:pPr>
    </w:p>
    <w:p w14:paraId="601C7559" w14:textId="60FD88B9" w:rsidR="008A60C5" w:rsidRPr="00173841" w:rsidRDefault="008A60C5" w:rsidP="00173841">
      <w:pPr>
        <w:pStyle w:val="NoSpacing"/>
      </w:pPr>
      <w:r w:rsidRPr="00173841">
        <w:br w:type="page"/>
      </w:r>
    </w:p>
    <w:p w14:paraId="4988265D" w14:textId="40BAFA2D" w:rsidR="00DD4792" w:rsidRPr="00A73F2E" w:rsidRDefault="00DD4792" w:rsidP="00DD4792">
      <w:pPr>
        <w:pStyle w:val="NoSpacing"/>
        <w:jc w:val="both"/>
        <w:rPr>
          <w:rFonts w:ascii="Arial" w:hAnsi="Arial" w:cs="Arial"/>
          <w:b/>
          <w:bCs/>
          <w:u w:val="single"/>
        </w:rPr>
      </w:pPr>
      <w:bookmarkStart w:id="10" w:name="Glossary"/>
      <w:r w:rsidRPr="00A73F2E">
        <w:rPr>
          <w:rFonts w:ascii="Arial" w:hAnsi="Arial" w:cs="Arial"/>
          <w:b/>
          <w:bCs/>
          <w:u w:val="single"/>
        </w:rPr>
        <w:lastRenderedPageBreak/>
        <w:t>Annex A: Glossary of Terms</w:t>
      </w:r>
    </w:p>
    <w:bookmarkEnd w:id="10"/>
    <w:p w14:paraId="07349CB9" w14:textId="77777777" w:rsidR="00DD4792" w:rsidRPr="00E16FD6" w:rsidRDefault="00DD4792" w:rsidP="00DD4792">
      <w:pPr>
        <w:pStyle w:val="NoSpacing"/>
        <w:jc w:val="both"/>
        <w:rPr>
          <w:rFonts w:ascii="Arial" w:hAnsi="Arial" w:cs="Arial"/>
        </w:rPr>
      </w:pPr>
    </w:p>
    <w:tbl>
      <w:tblPr>
        <w:tblStyle w:val="TableGrid"/>
        <w:tblW w:w="0" w:type="auto"/>
        <w:tblLook w:val="04A0" w:firstRow="1" w:lastRow="0" w:firstColumn="1" w:lastColumn="0" w:noHBand="0" w:noVBand="1"/>
      </w:tblPr>
      <w:tblGrid>
        <w:gridCol w:w="1016"/>
        <w:gridCol w:w="2669"/>
        <w:gridCol w:w="5331"/>
      </w:tblGrid>
      <w:tr w:rsidR="00DD4792" w:rsidRPr="00E16FD6" w14:paraId="124F99C5" w14:textId="77777777" w:rsidTr="00903C7F">
        <w:tc>
          <w:tcPr>
            <w:tcW w:w="1016" w:type="dxa"/>
          </w:tcPr>
          <w:p w14:paraId="086D1E02" w14:textId="77777777" w:rsidR="00DD4792" w:rsidRPr="0072128F" w:rsidRDefault="00DD4792" w:rsidP="00903C7F">
            <w:pPr>
              <w:pStyle w:val="NoSpacing"/>
              <w:jc w:val="both"/>
              <w:rPr>
                <w:rFonts w:ascii="Arial" w:hAnsi="Arial" w:cs="Arial"/>
              </w:rPr>
            </w:pPr>
            <w:r w:rsidRPr="0072128F">
              <w:rPr>
                <w:rFonts w:ascii="Arial" w:hAnsi="Arial" w:cs="Arial"/>
              </w:rPr>
              <w:t>MHA</w:t>
            </w:r>
          </w:p>
        </w:tc>
        <w:tc>
          <w:tcPr>
            <w:tcW w:w="2669" w:type="dxa"/>
          </w:tcPr>
          <w:p w14:paraId="5D24DA10" w14:textId="77777777" w:rsidR="00DD4792" w:rsidRPr="0072128F" w:rsidRDefault="00DD4792" w:rsidP="00903C7F">
            <w:pPr>
              <w:pStyle w:val="NoSpacing"/>
              <w:jc w:val="both"/>
              <w:rPr>
                <w:rFonts w:ascii="Arial" w:hAnsi="Arial" w:cs="Arial"/>
              </w:rPr>
            </w:pPr>
            <w:r w:rsidRPr="0072128F">
              <w:rPr>
                <w:rFonts w:ascii="Arial" w:hAnsi="Arial" w:cs="Arial"/>
              </w:rPr>
              <w:t>Mental Health Act 1983</w:t>
            </w:r>
          </w:p>
          <w:p w14:paraId="69CE7F83" w14:textId="77777777" w:rsidR="00DD4792" w:rsidRPr="0072128F" w:rsidRDefault="00DD4792" w:rsidP="00903C7F">
            <w:pPr>
              <w:pStyle w:val="NoSpacing"/>
              <w:jc w:val="both"/>
              <w:rPr>
                <w:rFonts w:ascii="Arial" w:hAnsi="Arial" w:cs="Arial"/>
              </w:rPr>
            </w:pPr>
          </w:p>
        </w:tc>
        <w:tc>
          <w:tcPr>
            <w:tcW w:w="5331" w:type="dxa"/>
          </w:tcPr>
          <w:p w14:paraId="31FEAD6A" w14:textId="77777777" w:rsidR="00DD4792" w:rsidRPr="0072128F" w:rsidRDefault="00DD4792" w:rsidP="00903C7F">
            <w:pPr>
              <w:pStyle w:val="NoSpacing"/>
              <w:jc w:val="both"/>
              <w:rPr>
                <w:rFonts w:ascii="Arial" w:hAnsi="Arial" w:cs="Arial"/>
              </w:rPr>
            </w:pPr>
            <w:r w:rsidRPr="0072128F">
              <w:rPr>
                <w:rFonts w:ascii="Arial" w:hAnsi="Arial" w:cs="Arial"/>
              </w:rPr>
              <w:t xml:space="preserve">The primary legislation appertaining to the detention and treatment of mentally disordered people. Part 3 covers mentally disordered offenders (MDOs). See </w:t>
            </w:r>
            <w:hyperlink r:id="rId33" w:history="1">
              <w:r w:rsidRPr="00C35FFE">
                <w:rPr>
                  <w:rStyle w:val="Hyperlink"/>
                  <w:rFonts w:ascii="Arial" w:hAnsi="Arial" w:cs="Arial"/>
                  <w:color w:val="7030A0"/>
                </w:rPr>
                <w:t>Mental Health Act 1983</w:t>
              </w:r>
            </w:hyperlink>
            <w:r w:rsidRPr="00C35FFE">
              <w:rPr>
                <w:rStyle w:val="Hyperlink"/>
                <w:rFonts w:ascii="Arial" w:hAnsi="Arial" w:cs="Arial"/>
                <w:color w:val="7030A0"/>
              </w:rPr>
              <w:t xml:space="preserve"> and its associated </w:t>
            </w:r>
            <w:hyperlink r:id="rId34" w:history="1">
              <w:r w:rsidRPr="00C35FFE">
                <w:rPr>
                  <w:rStyle w:val="Hyperlink"/>
                  <w:rFonts w:ascii="Arial" w:hAnsi="Arial" w:cs="Arial"/>
                  <w:color w:val="7030A0"/>
                </w:rPr>
                <w:t>Code of Practice</w:t>
              </w:r>
            </w:hyperlink>
          </w:p>
        </w:tc>
      </w:tr>
      <w:tr w:rsidR="00DD4792" w:rsidRPr="00E16FD6" w14:paraId="4F15AE21" w14:textId="77777777" w:rsidTr="00903C7F">
        <w:tc>
          <w:tcPr>
            <w:tcW w:w="1016" w:type="dxa"/>
          </w:tcPr>
          <w:p w14:paraId="12CAE160" w14:textId="77777777" w:rsidR="00DD4792" w:rsidRPr="0072128F" w:rsidRDefault="00DD4792" w:rsidP="00903C7F">
            <w:pPr>
              <w:pStyle w:val="NoSpacing"/>
              <w:jc w:val="both"/>
              <w:rPr>
                <w:rFonts w:ascii="Arial" w:hAnsi="Arial" w:cs="Arial"/>
              </w:rPr>
            </w:pPr>
            <w:r w:rsidRPr="0072128F">
              <w:rPr>
                <w:rFonts w:ascii="Arial" w:hAnsi="Arial" w:cs="Arial"/>
              </w:rPr>
              <w:t>RC</w:t>
            </w:r>
          </w:p>
        </w:tc>
        <w:tc>
          <w:tcPr>
            <w:tcW w:w="2669" w:type="dxa"/>
          </w:tcPr>
          <w:p w14:paraId="0C34EC4E" w14:textId="77777777" w:rsidR="00DD4792" w:rsidRPr="0072128F" w:rsidRDefault="00DD4792" w:rsidP="00903C7F">
            <w:pPr>
              <w:pStyle w:val="NoSpacing"/>
              <w:jc w:val="both"/>
              <w:rPr>
                <w:rFonts w:ascii="Arial" w:hAnsi="Arial" w:cs="Arial"/>
              </w:rPr>
            </w:pPr>
            <w:r w:rsidRPr="0072128F">
              <w:rPr>
                <w:rFonts w:ascii="Arial" w:hAnsi="Arial" w:cs="Arial"/>
              </w:rPr>
              <w:t>Responsible Clinician</w:t>
            </w:r>
          </w:p>
        </w:tc>
        <w:tc>
          <w:tcPr>
            <w:tcW w:w="5331" w:type="dxa"/>
          </w:tcPr>
          <w:p w14:paraId="655A2A4D" w14:textId="77777777" w:rsidR="00DD4792" w:rsidRPr="0072128F" w:rsidRDefault="00DD4792" w:rsidP="00903C7F">
            <w:pPr>
              <w:pStyle w:val="NoSpacing"/>
              <w:jc w:val="both"/>
              <w:rPr>
                <w:rFonts w:ascii="Arial" w:hAnsi="Arial" w:cs="Arial"/>
              </w:rPr>
            </w:pPr>
            <w:r w:rsidRPr="0072128F">
              <w:rPr>
                <w:rFonts w:ascii="Arial" w:hAnsi="Arial" w:cs="Arial"/>
              </w:rPr>
              <w:t>The RC has overall responsibility for care and treatment for restricted patients under the MHA</w:t>
            </w:r>
          </w:p>
        </w:tc>
      </w:tr>
      <w:tr w:rsidR="00DD4792" w:rsidRPr="00E16FD6" w14:paraId="61E5190D" w14:textId="77777777" w:rsidTr="00903C7F">
        <w:tc>
          <w:tcPr>
            <w:tcW w:w="1016" w:type="dxa"/>
          </w:tcPr>
          <w:p w14:paraId="0DC5FFE2" w14:textId="77777777" w:rsidR="00DD4792" w:rsidRPr="0072128F" w:rsidRDefault="00DD4792" w:rsidP="00903C7F">
            <w:pPr>
              <w:pStyle w:val="NoSpacing"/>
              <w:jc w:val="both"/>
              <w:rPr>
                <w:rFonts w:ascii="Arial" w:hAnsi="Arial" w:cs="Arial"/>
              </w:rPr>
            </w:pPr>
            <w:r w:rsidRPr="0072128F">
              <w:rPr>
                <w:rFonts w:ascii="Arial" w:hAnsi="Arial" w:cs="Arial"/>
              </w:rPr>
              <w:t xml:space="preserve">SoS </w:t>
            </w:r>
          </w:p>
          <w:p w14:paraId="7FF6370C" w14:textId="77777777" w:rsidR="00DD4792" w:rsidRPr="0072128F" w:rsidRDefault="00DD4792" w:rsidP="00903C7F">
            <w:pPr>
              <w:pStyle w:val="NoSpacing"/>
              <w:jc w:val="both"/>
              <w:rPr>
                <w:rFonts w:ascii="Arial" w:hAnsi="Arial" w:cs="Arial"/>
              </w:rPr>
            </w:pPr>
          </w:p>
        </w:tc>
        <w:tc>
          <w:tcPr>
            <w:tcW w:w="2669" w:type="dxa"/>
          </w:tcPr>
          <w:p w14:paraId="23AABF2C" w14:textId="77777777" w:rsidR="00DD4792" w:rsidRPr="0072128F" w:rsidRDefault="00DD4792" w:rsidP="00903C7F">
            <w:pPr>
              <w:pStyle w:val="NoSpacing"/>
              <w:jc w:val="both"/>
              <w:rPr>
                <w:rFonts w:ascii="Arial" w:hAnsi="Arial" w:cs="Arial"/>
              </w:rPr>
            </w:pPr>
            <w:r w:rsidRPr="0072128F">
              <w:rPr>
                <w:rFonts w:ascii="Arial" w:hAnsi="Arial" w:cs="Arial"/>
              </w:rPr>
              <w:t>Secretary of State for Justice</w:t>
            </w:r>
          </w:p>
        </w:tc>
        <w:tc>
          <w:tcPr>
            <w:tcW w:w="5331" w:type="dxa"/>
          </w:tcPr>
          <w:p w14:paraId="6874BF8B" w14:textId="363480CC" w:rsidR="00DD4792" w:rsidRPr="0072128F" w:rsidRDefault="00DD4792" w:rsidP="00903C7F">
            <w:pPr>
              <w:pStyle w:val="NoSpacing"/>
              <w:jc w:val="both"/>
              <w:rPr>
                <w:rFonts w:ascii="Arial" w:hAnsi="Arial" w:cs="Arial"/>
              </w:rPr>
            </w:pPr>
            <w:r w:rsidRPr="0072128F">
              <w:rPr>
                <w:rFonts w:ascii="Arial" w:hAnsi="Arial" w:cs="Arial"/>
              </w:rPr>
              <w:t xml:space="preserve">The member of the Cabinet with responsibilities under </w:t>
            </w:r>
            <w:r w:rsidR="001B5E54">
              <w:rPr>
                <w:rFonts w:ascii="Arial" w:hAnsi="Arial" w:cs="Arial"/>
              </w:rPr>
              <w:t>P</w:t>
            </w:r>
            <w:r w:rsidRPr="0072128F">
              <w:rPr>
                <w:rFonts w:ascii="Arial" w:hAnsi="Arial" w:cs="Arial"/>
              </w:rPr>
              <w:t xml:space="preserve">art III of the MHA (transferred from the Home Secretary in 2007). Day to day decisions are delegated to officials within the MOJ (HMPPS) under the </w:t>
            </w:r>
            <w:hyperlink r:id="rId35" w:history="1">
              <w:proofErr w:type="spellStart"/>
              <w:r w:rsidRPr="00C35FFE">
                <w:rPr>
                  <w:rStyle w:val="Hyperlink"/>
                  <w:rFonts w:ascii="Arial" w:hAnsi="Arial" w:cs="Arial"/>
                  <w:color w:val="7030A0"/>
                </w:rPr>
                <w:t>Carltona</w:t>
              </w:r>
              <w:proofErr w:type="spellEnd"/>
              <w:r w:rsidRPr="00C35FFE">
                <w:rPr>
                  <w:rStyle w:val="Hyperlink"/>
                  <w:rFonts w:ascii="Arial" w:hAnsi="Arial" w:cs="Arial"/>
                  <w:color w:val="7030A0"/>
                </w:rPr>
                <w:t xml:space="preserve"> principle</w:t>
              </w:r>
            </w:hyperlink>
            <w:r w:rsidRPr="00C35FFE">
              <w:rPr>
                <w:rFonts w:ascii="Arial" w:hAnsi="Arial" w:cs="Arial"/>
                <w:color w:val="7030A0"/>
              </w:rPr>
              <w:t>.</w:t>
            </w:r>
          </w:p>
        </w:tc>
      </w:tr>
      <w:tr w:rsidR="00DD4792" w:rsidRPr="00E16FD6" w14:paraId="76C114FB" w14:textId="77777777" w:rsidTr="00903C7F">
        <w:tc>
          <w:tcPr>
            <w:tcW w:w="1016" w:type="dxa"/>
          </w:tcPr>
          <w:p w14:paraId="2CFEF498" w14:textId="77777777" w:rsidR="00DD4792" w:rsidRPr="0072128F" w:rsidRDefault="00DD4792" w:rsidP="00903C7F">
            <w:pPr>
              <w:pStyle w:val="NoSpacing"/>
              <w:jc w:val="both"/>
              <w:rPr>
                <w:rFonts w:ascii="Arial" w:hAnsi="Arial" w:cs="Arial"/>
              </w:rPr>
            </w:pPr>
            <w:r w:rsidRPr="0072128F">
              <w:rPr>
                <w:rFonts w:ascii="Arial" w:hAnsi="Arial" w:cs="Arial"/>
              </w:rPr>
              <w:t xml:space="preserve">MOJ </w:t>
            </w:r>
          </w:p>
          <w:p w14:paraId="4BFA4223" w14:textId="77777777" w:rsidR="00DD4792" w:rsidRPr="0072128F" w:rsidRDefault="00DD4792" w:rsidP="00903C7F">
            <w:pPr>
              <w:pStyle w:val="NoSpacing"/>
              <w:jc w:val="both"/>
              <w:rPr>
                <w:rFonts w:ascii="Arial" w:hAnsi="Arial" w:cs="Arial"/>
              </w:rPr>
            </w:pPr>
          </w:p>
        </w:tc>
        <w:tc>
          <w:tcPr>
            <w:tcW w:w="2669" w:type="dxa"/>
          </w:tcPr>
          <w:p w14:paraId="5AC8072A" w14:textId="77777777" w:rsidR="00DD4792" w:rsidRPr="0072128F" w:rsidRDefault="00DD4792" w:rsidP="00903C7F">
            <w:pPr>
              <w:pStyle w:val="NoSpacing"/>
              <w:jc w:val="both"/>
              <w:rPr>
                <w:rFonts w:ascii="Arial" w:hAnsi="Arial" w:cs="Arial"/>
              </w:rPr>
            </w:pPr>
            <w:r w:rsidRPr="0072128F">
              <w:rPr>
                <w:rFonts w:ascii="Arial" w:hAnsi="Arial" w:cs="Arial"/>
              </w:rPr>
              <w:t>Ministry of Justice</w:t>
            </w:r>
          </w:p>
        </w:tc>
        <w:tc>
          <w:tcPr>
            <w:tcW w:w="5331" w:type="dxa"/>
          </w:tcPr>
          <w:p w14:paraId="46C7B6EA" w14:textId="77777777" w:rsidR="00DD4792" w:rsidRPr="0072128F" w:rsidRDefault="00DD4792" w:rsidP="00903C7F">
            <w:pPr>
              <w:pStyle w:val="NoSpacing"/>
              <w:jc w:val="both"/>
              <w:rPr>
                <w:rFonts w:ascii="Arial" w:hAnsi="Arial" w:cs="Arial"/>
              </w:rPr>
            </w:pPr>
            <w:r w:rsidRPr="0072128F">
              <w:rPr>
                <w:rFonts w:ascii="Arial" w:hAnsi="Arial" w:cs="Arial"/>
              </w:rPr>
              <w:t xml:space="preserve">The </w:t>
            </w:r>
            <w:hyperlink r:id="rId36" w:history="1">
              <w:r w:rsidRPr="00C35FFE">
                <w:rPr>
                  <w:rStyle w:val="Hyperlink"/>
                  <w:rFonts w:ascii="Arial" w:hAnsi="Arial" w:cs="Arial"/>
                  <w:color w:val="7030A0"/>
                </w:rPr>
                <w:t>MOJ</w:t>
              </w:r>
            </w:hyperlink>
            <w:r w:rsidRPr="0072128F">
              <w:rPr>
                <w:rFonts w:ascii="Arial" w:hAnsi="Arial" w:cs="Arial"/>
              </w:rPr>
              <w:t xml:space="preserve"> is the government department responsible for the discharging the SoS’s functions under the MHA. Many clinicians, social supervisors and other staff involved with patient care refer to the MOJ as shorthand for MHCS.</w:t>
            </w:r>
          </w:p>
        </w:tc>
      </w:tr>
      <w:tr w:rsidR="00DD4792" w:rsidRPr="00E16FD6" w14:paraId="7DC4D8BD" w14:textId="77777777" w:rsidTr="00903C7F">
        <w:tc>
          <w:tcPr>
            <w:tcW w:w="1016" w:type="dxa"/>
          </w:tcPr>
          <w:p w14:paraId="684EE98D" w14:textId="77777777" w:rsidR="00DD4792" w:rsidRPr="0072128F" w:rsidRDefault="00DD4792" w:rsidP="00903C7F">
            <w:pPr>
              <w:pStyle w:val="NoSpacing"/>
              <w:jc w:val="both"/>
              <w:rPr>
                <w:rFonts w:ascii="Arial" w:hAnsi="Arial" w:cs="Arial"/>
              </w:rPr>
            </w:pPr>
            <w:r w:rsidRPr="0072128F">
              <w:rPr>
                <w:rFonts w:ascii="Arial" w:hAnsi="Arial" w:cs="Arial"/>
              </w:rPr>
              <w:t xml:space="preserve">HMPPS </w:t>
            </w:r>
          </w:p>
          <w:p w14:paraId="3662B68B" w14:textId="77777777" w:rsidR="00DD4792" w:rsidRPr="0072128F" w:rsidRDefault="00DD4792" w:rsidP="00903C7F">
            <w:pPr>
              <w:pStyle w:val="NoSpacing"/>
              <w:jc w:val="both"/>
              <w:rPr>
                <w:rFonts w:ascii="Arial" w:hAnsi="Arial" w:cs="Arial"/>
              </w:rPr>
            </w:pPr>
          </w:p>
        </w:tc>
        <w:tc>
          <w:tcPr>
            <w:tcW w:w="2669" w:type="dxa"/>
          </w:tcPr>
          <w:p w14:paraId="0401B0B1" w14:textId="1461DFDC" w:rsidR="00DD4792" w:rsidRPr="0072128F" w:rsidRDefault="00DD4792" w:rsidP="00903C7F">
            <w:pPr>
              <w:pStyle w:val="NoSpacing"/>
              <w:jc w:val="both"/>
              <w:rPr>
                <w:rFonts w:ascii="Arial" w:hAnsi="Arial" w:cs="Arial"/>
              </w:rPr>
            </w:pPr>
            <w:r w:rsidRPr="0072128F">
              <w:rPr>
                <w:rFonts w:ascii="Arial" w:hAnsi="Arial" w:cs="Arial"/>
              </w:rPr>
              <w:t>H</w:t>
            </w:r>
            <w:r w:rsidR="00110C2E">
              <w:rPr>
                <w:rFonts w:ascii="Arial" w:hAnsi="Arial" w:cs="Arial"/>
              </w:rPr>
              <w:t>is</w:t>
            </w:r>
            <w:r w:rsidRPr="0072128F">
              <w:rPr>
                <w:rFonts w:ascii="Arial" w:hAnsi="Arial" w:cs="Arial"/>
              </w:rPr>
              <w:t xml:space="preserve"> Majesty’s Prison and Probation Service</w:t>
            </w:r>
          </w:p>
        </w:tc>
        <w:tc>
          <w:tcPr>
            <w:tcW w:w="5331" w:type="dxa"/>
          </w:tcPr>
          <w:p w14:paraId="4FE420A2" w14:textId="77777777" w:rsidR="00DD4792" w:rsidRPr="0072128F" w:rsidRDefault="00110C2E" w:rsidP="00903C7F">
            <w:pPr>
              <w:pStyle w:val="NoSpacing"/>
              <w:jc w:val="both"/>
              <w:rPr>
                <w:rFonts w:ascii="Arial" w:hAnsi="Arial" w:cs="Arial"/>
              </w:rPr>
            </w:pPr>
            <w:hyperlink r:id="rId37" w:history="1">
              <w:r w:rsidR="00DD4792" w:rsidRPr="00C35FFE">
                <w:rPr>
                  <w:rStyle w:val="Hyperlink"/>
                  <w:rFonts w:ascii="Arial" w:hAnsi="Arial" w:cs="Arial"/>
                  <w:color w:val="7030A0"/>
                </w:rPr>
                <w:t>HMPPS</w:t>
              </w:r>
            </w:hyperlink>
            <w:r w:rsidR="00DD4792" w:rsidRPr="00C35FFE">
              <w:rPr>
                <w:rFonts w:ascii="Arial" w:hAnsi="Arial" w:cs="Arial"/>
                <w:color w:val="7030A0"/>
              </w:rPr>
              <w:t xml:space="preserve"> </w:t>
            </w:r>
            <w:r w:rsidR="00DD4792" w:rsidRPr="0072128F">
              <w:rPr>
                <w:rFonts w:ascii="Arial" w:hAnsi="Arial" w:cs="Arial"/>
              </w:rPr>
              <w:t>is an Executive Agency of the MOJ.</w:t>
            </w:r>
          </w:p>
        </w:tc>
      </w:tr>
      <w:tr w:rsidR="00DD4792" w:rsidRPr="00E16FD6" w14:paraId="7ED88A09" w14:textId="77777777" w:rsidTr="00903C7F">
        <w:tc>
          <w:tcPr>
            <w:tcW w:w="1016" w:type="dxa"/>
          </w:tcPr>
          <w:p w14:paraId="03BBCE77" w14:textId="77777777" w:rsidR="00DD4792" w:rsidRPr="0072128F" w:rsidRDefault="00DD4792" w:rsidP="00903C7F">
            <w:pPr>
              <w:pStyle w:val="NoSpacing"/>
              <w:jc w:val="both"/>
              <w:rPr>
                <w:rFonts w:ascii="Arial" w:hAnsi="Arial" w:cs="Arial"/>
              </w:rPr>
            </w:pPr>
            <w:r w:rsidRPr="0072128F">
              <w:rPr>
                <w:rFonts w:ascii="Arial" w:hAnsi="Arial" w:cs="Arial"/>
              </w:rPr>
              <w:t xml:space="preserve">MHCS </w:t>
            </w:r>
          </w:p>
          <w:p w14:paraId="56EC4BD3" w14:textId="77777777" w:rsidR="00DD4792" w:rsidRPr="0072128F" w:rsidRDefault="00DD4792" w:rsidP="00903C7F">
            <w:pPr>
              <w:pStyle w:val="NoSpacing"/>
              <w:jc w:val="both"/>
              <w:rPr>
                <w:rFonts w:ascii="Arial" w:hAnsi="Arial" w:cs="Arial"/>
              </w:rPr>
            </w:pPr>
          </w:p>
        </w:tc>
        <w:tc>
          <w:tcPr>
            <w:tcW w:w="2669" w:type="dxa"/>
          </w:tcPr>
          <w:p w14:paraId="4225B804" w14:textId="77777777" w:rsidR="00DD4792" w:rsidRPr="0072128F" w:rsidRDefault="00DD4792" w:rsidP="00903C7F">
            <w:pPr>
              <w:pStyle w:val="NoSpacing"/>
              <w:jc w:val="both"/>
              <w:rPr>
                <w:rFonts w:ascii="Arial" w:hAnsi="Arial" w:cs="Arial"/>
              </w:rPr>
            </w:pPr>
            <w:r w:rsidRPr="0072128F">
              <w:rPr>
                <w:rFonts w:ascii="Arial" w:hAnsi="Arial" w:cs="Arial"/>
              </w:rPr>
              <w:t>Mental Health Casework Section</w:t>
            </w:r>
          </w:p>
        </w:tc>
        <w:tc>
          <w:tcPr>
            <w:tcW w:w="5331" w:type="dxa"/>
          </w:tcPr>
          <w:p w14:paraId="3C114D8A" w14:textId="77777777" w:rsidR="00DD4792" w:rsidRPr="0072128F" w:rsidRDefault="00110C2E" w:rsidP="00903C7F">
            <w:pPr>
              <w:pStyle w:val="NoSpacing"/>
              <w:jc w:val="both"/>
              <w:rPr>
                <w:rFonts w:ascii="Arial" w:hAnsi="Arial" w:cs="Arial"/>
              </w:rPr>
            </w:pPr>
            <w:hyperlink r:id="rId38" w:history="1">
              <w:r w:rsidR="00DD4792" w:rsidRPr="00C35FFE">
                <w:rPr>
                  <w:rStyle w:val="Hyperlink"/>
                  <w:rFonts w:ascii="Arial" w:hAnsi="Arial" w:cs="Arial"/>
                  <w:color w:val="7030A0"/>
                </w:rPr>
                <w:t>MHCS</w:t>
              </w:r>
            </w:hyperlink>
            <w:r w:rsidR="00DD4792" w:rsidRPr="00C35FFE">
              <w:rPr>
                <w:rFonts w:ascii="Arial" w:hAnsi="Arial" w:cs="Arial"/>
                <w:color w:val="7030A0"/>
              </w:rPr>
              <w:t xml:space="preserve"> </w:t>
            </w:r>
            <w:r w:rsidR="00DD4792" w:rsidRPr="0072128F">
              <w:rPr>
                <w:rFonts w:ascii="Arial" w:hAnsi="Arial" w:cs="Arial"/>
              </w:rPr>
              <w:t xml:space="preserve">is the section within HMPPS Public Protection Group which oversees the practical management of Restricted Patients including making decisions on behalf of the SoS </w:t>
            </w:r>
          </w:p>
        </w:tc>
      </w:tr>
      <w:tr w:rsidR="00DD4792" w:rsidRPr="00E16FD6" w14:paraId="6867E738" w14:textId="77777777" w:rsidTr="00903C7F">
        <w:tc>
          <w:tcPr>
            <w:tcW w:w="1016" w:type="dxa"/>
          </w:tcPr>
          <w:p w14:paraId="5434727B" w14:textId="77777777" w:rsidR="00DD4792" w:rsidRPr="0072128F" w:rsidRDefault="00DD4792" w:rsidP="00903C7F">
            <w:pPr>
              <w:pStyle w:val="NoSpacing"/>
              <w:jc w:val="both"/>
              <w:rPr>
                <w:rFonts w:ascii="Arial" w:hAnsi="Arial" w:cs="Arial"/>
              </w:rPr>
            </w:pPr>
            <w:r w:rsidRPr="0072128F">
              <w:rPr>
                <w:rFonts w:ascii="Arial" w:hAnsi="Arial" w:cs="Arial"/>
              </w:rPr>
              <w:t xml:space="preserve">Tribunal </w:t>
            </w:r>
          </w:p>
          <w:p w14:paraId="7B18B238" w14:textId="77777777" w:rsidR="00DD4792" w:rsidRPr="0072128F" w:rsidRDefault="00DD4792" w:rsidP="00903C7F">
            <w:pPr>
              <w:pStyle w:val="NoSpacing"/>
              <w:jc w:val="both"/>
              <w:rPr>
                <w:rFonts w:ascii="Arial" w:hAnsi="Arial" w:cs="Arial"/>
              </w:rPr>
            </w:pPr>
          </w:p>
        </w:tc>
        <w:tc>
          <w:tcPr>
            <w:tcW w:w="2669" w:type="dxa"/>
          </w:tcPr>
          <w:p w14:paraId="7D7A10DE" w14:textId="77777777" w:rsidR="00DD4792" w:rsidRPr="0072128F" w:rsidRDefault="00DD4792" w:rsidP="00903C7F">
            <w:pPr>
              <w:pStyle w:val="NoSpacing"/>
              <w:jc w:val="both"/>
              <w:rPr>
                <w:rFonts w:ascii="Arial" w:hAnsi="Arial" w:cs="Arial"/>
              </w:rPr>
            </w:pPr>
            <w:r w:rsidRPr="0072128F">
              <w:rPr>
                <w:rFonts w:ascii="Arial" w:hAnsi="Arial" w:cs="Arial"/>
              </w:rPr>
              <w:t>The First-Tier (Mental Health) Tribunal and the Mental Health Review Tribunal for Wales</w:t>
            </w:r>
          </w:p>
        </w:tc>
        <w:tc>
          <w:tcPr>
            <w:tcW w:w="5331" w:type="dxa"/>
          </w:tcPr>
          <w:p w14:paraId="4EE5FEAC" w14:textId="77777777" w:rsidR="00DD4792" w:rsidRPr="0072128F" w:rsidRDefault="00DD4792" w:rsidP="00903C7F">
            <w:pPr>
              <w:pStyle w:val="NoSpacing"/>
              <w:jc w:val="both"/>
              <w:rPr>
                <w:rFonts w:ascii="Arial" w:hAnsi="Arial" w:cs="Arial"/>
              </w:rPr>
            </w:pPr>
            <w:r w:rsidRPr="0072128F">
              <w:rPr>
                <w:rFonts w:ascii="Arial" w:hAnsi="Arial" w:cs="Arial"/>
              </w:rPr>
              <w:t xml:space="preserve">The Tribunals are the independent judicial bodies charged with reviewing patients’ detention in hospital. </w:t>
            </w:r>
          </w:p>
        </w:tc>
      </w:tr>
      <w:tr w:rsidR="00DD4792" w:rsidRPr="00E16FD6" w14:paraId="7A66A1A8" w14:textId="77777777" w:rsidTr="00903C7F">
        <w:tc>
          <w:tcPr>
            <w:tcW w:w="1016" w:type="dxa"/>
          </w:tcPr>
          <w:p w14:paraId="751E4E45" w14:textId="77777777" w:rsidR="00DD4792" w:rsidRPr="0072128F" w:rsidRDefault="00DD4792" w:rsidP="00903C7F">
            <w:pPr>
              <w:pStyle w:val="NoSpacing"/>
              <w:jc w:val="both"/>
              <w:rPr>
                <w:rFonts w:ascii="Arial" w:hAnsi="Arial" w:cs="Arial"/>
              </w:rPr>
            </w:pPr>
            <w:r w:rsidRPr="0072128F">
              <w:rPr>
                <w:rFonts w:ascii="Arial" w:hAnsi="Arial" w:cs="Arial"/>
              </w:rPr>
              <w:t xml:space="preserve">DA </w:t>
            </w:r>
          </w:p>
          <w:p w14:paraId="26ADA1BB" w14:textId="77777777" w:rsidR="00DD4792" w:rsidRPr="0072128F" w:rsidRDefault="00DD4792" w:rsidP="00903C7F">
            <w:pPr>
              <w:pStyle w:val="NoSpacing"/>
              <w:jc w:val="both"/>
              <w:rPr>
                <w:rFonts w:ascii="Arial" w:hAnsi="Arial" w:cs="Arial"/>
              </w:rPr>
            </w:pPr>
          </w:p>
        </w:tc>
        <w:tc>
          <w:tcPr>
            <w:tcW w:w="2669" w:type="dxa"/>
          </w:tcPr>
          <w:p w14:paraId="6E2255BA" w14:textId="77777777" w:rsidR="00DD4792" w:rsidRPr="0072128F" w:rsidRDefault="00DD4792" w:rsidP="00903C7F">
            <w:pPr>
              <w:pStyle w:val="NoSpacing"/>
              <w:jc w:val="both"/>
              <w:rPr>
                <w:rFonts w:ascii="Arial" w:hAnsi="Arial" w:cs="Arial"/>
              </w:rPr>
            </w:pPr>
            <w:r w:rsidRPr="0072128F">
              <w:rPr>
                <w:rFonts w:ascii="Arial" w:hAnsi="Arial" w:cs="Arial"/>
              </w:rPr>
              <w:t>Detention Authority</w:t>
            </w:r>
          </w:p>
        </w:tc>
        <w:tc>
          <w:tcPr>
            <w:tcW w:w="5331" w:type="dxa"/>
          </w:tcPr>
          <w:p w14:paraId="5E804868" w14:textId="1CE832D5" w:rsidR="00DD4792" w:rsidRPr="0072128F" w:rsidRDefault="00DD4792" w:rsidP="00903C7F">
            <w:pPr>
              <w:pStyle w:val="NoSpacing"/>
              <w:jc w:val="both"/>
              <w:rPr>
                <w:rFonts w:ascii="Arial" w:hAnsi="Arial" w:cs="Arial"/>
              </w:rPr>
            </w:pPr>
            <w:r w:rsidRPr="0072128F">
              <w:rPr>
                <w:rFonts w:ascii="Arial" w:hAnsi="Arial" w:cs="Arial"/>
              </w:rPr>
              <w:t xml:space="preserve">The DA means the Hospital Order (set by the Court), Hospital Direction, Transfer Direction, Recall Warrant or letter agreeing to trial leave or transfer to another hospital (set by the SoS).  </w:t>
            </w:r>
          </w:p>
        </w:tc>
      </w:tr>
      <w:tr w:rsidR="00DD4792" w:rsidRPr="00E16FD6" w14:paraId="78A7CBF3" w14:textId="77777777" w:rsidTr="00903C7F">
        <w:tc>
          <w:tcPr>
            <w:tcW w:w="1016" w:type="dxa"/>
          </w:tcPr>
          <w:p w14:paraId="4E54AF1A" w14:textId="77777777" w:rsidR="00DD4792" w:rsidRPr="0072128F" w:rsidRDefault="00DD4792" w:rsidP="00903C7F">
            <w:pPr>
              <w:pStyle w:val="NoSpacing"/>
              <w:jc w:val="both"/>
              <w:rPr>
                <w:rFonts w:ascii="Arial" w:hAnsi="Arial" w:cs="Arial"/>
              </w:rPr>
            </w:pPr>
            <w:r w:rsidRPr="0072128F">
              <w:rPr>
                <w:rFonts w:ascii="Arial" w:hAnsi="Arial" w:cs="Arial"/>
              </w:rPr>
              <w:t>VCS</w:t>
            </w:r>
          </w:p>
        </w:tc>
        <w:tc>
          <w:tcPr>
            <w:tcW w:w="2669" w:type="dxa"/>
          </w:tcPr>
          <w:p w14:paraId="21CE6911" w14:textId="77777777" w:rsidR="00DD4792" w:rsidRPr="0072128F" w:rsidRDefault="00DD4792" w:rsidP="00903C7F">
            <w:pPr>
              <w:pStyle w:val="NoSpacing"/>
              <w:jc w:val="both"/>
              <w:rPr>
                <w:rFonts w:ascii="Arial" w:hAnsi="Arial" w:cs="Arial"/>
              </w:rPr>
            </w:pPr>
            <w:r w:rsidRPr="0072128F">
              <w:rPr>
                <w:rFonts w:ascii="Arial" w:hAnsi="Arial" w:cs="Arial"/>
              </w:rPr>
              <w:t>Victim Contact Scheme</w:t>
            </w:r>
          </w:p>
        </w:tc>
        <w:tc>
          <w:tcPr>
            <w:tcW w:w="5331" w:type="dxa"/>
          </w:tcPr>
          <w:p w14:paraId="06A164E1" w14:textId="77777777" w:rsidR="00DD4792" w:rsidRPr="0072128F" w:rsidRDefault="00DD4792" w:rsidP="00903C7F">
            <w:pPr>
              <w:pStyle w:val="NoSpacing"/>
              <w:jc w:val="both"/>
              <w:rPr>
                <w:rFonts w:ascii="Arial" w:hAnsi="Arial" w:cs="Arial"/>
              </w:rPr>
            </w:pPr>
            <w:r w:rsidRPr="0072128F">
              <w:rPr>
                <w:rFonts w:ascii="Arial" w:hAnsi="Arial" w:cs="Arial"/>
              </w:rPr>
              <w:t xml:space="preserve">Under the Domestic Violence, Crime and Victims Act 2004 (DVCVA), where a restricted patient was sentenced on or after 1 July 2005, victims of serious violent and sexual offences have the right to information on key developments in a patient’s progress and to make representations about discharge conditions, from the National Probation Service (NPS) under the </w:t>
            </w:r>
            <w:hyperlink r:id="rId39" w:history="1">
              <w:r w:rsidRPr="00C35FFE">
                <w:rPr>
                  <w:rStyle w:val="Hyperlink"/>
                  <w:rFonts w:ascii="Arial" w:hAnsi="Arial" w:cs="Arial"/>
                  <w:color w:val="7030A0"/>
                </w:rPr>
                <w:t>Victim Contact Scheme</w:t>
              </w:r>
            </w:hyperlink>
            <w:r w:rsidRPr="0072128F">
              <w:rPr>
                <w:rFonts w:ascii="Arial" w:hAnsi="Arial" w:cs="Arial"/>
              </w:rPr>
              <w:t xml:space="preserve"> (VCS). Victims do not statutorily qualify may be accepted on to the scheme on a discretionary basis.</w:t>
            </w:r>
          </w:p>
        </w:tc>
      </w:tr>
      <w:tr w:rsidR="00DD4792" w:rsidRPr="00E16FD6" w14:paraId="30659055" w14:textId="77777777" w:rsidTr="00903C7F">
        <w:tc>
          <w:tcPr>
            <w:tcW w:w="1016" w:type="dxa"/>
          </w:tcPr>
          <w:p w14:paraId="58481CAA" w14:textId="77777777" w:rsidR="00DD4792" w:rsidRPr="0072128F" w:rsidRDefault="00DD4792" w:rsidP="00903C7F">
            <w:pPr>
              <w:pStyle w:val="NoSpacing"/>
              <w:jc w:val="both"/>
              <w:rPr>
                <w:rFonts w:ascii="Arial" w:hAnsi="Arial" w:cs="Arial"/>
              </w:rPr>
            </w:pPr>
            <w:r w:rsidRPr="0072128F">
              <w:rPr>
                <w:rFonts w:ascii="Arial" w:hAnsi="Arial" w:cs="Arial"/>
              </w:rPr>
              <w:t>MCA</w:t>
            </w:r>
          </w:p>
        </w:tc>
        <w:tc>
          <w:tcPr>
            <w:tcW w:w="2669" w:type="dxa"/>
          </w:tcPr>
          <w:p w14:paraId="61809B78" w14:textId="77777777" w:rsidR="00DD4792" w:rsidRPr="0072128F" w:rsidRDefault="00DD4792" w:rsidP="00903C7F">
            <w:pPr>
              <w:pStyle w:val="NoSpacing"/>
              <w:jc w:val="both"/>
              <w:rPr>
                <w:rFonts w:ascii="Arial" w:hAnsi="Arial" w:cs="Arial"/>
              </w:rPr>
            </w:pPr>
            <w:r w:rsidRPr="0072128F">
              <w:rPr>
                <w:rFonts w:ascii="Arial" w:hAnsi="Arial" w:cs="Arial"/>
              </w:rPr>
              <w:t>Mental Capacity Act</w:t>
            </w:r>
          </w:p>
        </w:tc>
        <w:tc>
          <w:tcPr>
            <w:tcW w:w="5331" w:type="dxa"/>
          </w:tcPr>
          <w:p w14:paraId="1DD93226" w14:textId="77777777" w:rsidR="00DD4792" w:rsidRPr="0072128F" w:rsidRDefault="00DD4792" w:rsidP="00903C7F">
            <w:pPr>
              <w:jc w:val="both"/>
              <w:rPr>
                <w:sz w:val="22"/>
              </w:rPr>
            </w:pPr>
            <w:r w:rsidRPr="0072128F">
              <w:rPr>
                <w:sz w:val="22"/>
                <w:lang w:eastAsia="en-GB"/>
              </w:rPr>
              <w:t xml:space="preserve">The Mental Capacity Act 2005, covering England and Wales, provides a statutory framework for people who lack capacity to make decisions for themselves, or who have capacity and want to make preparations for a time when they may lack capacity in the future. It sets out who can take decisions, in which situations, and how they should go about this. The MCA Code of Practice can be found </w:t>
            </w:r>
            <w:hyperlink r:id="rId40" w:history="1">
              <w:r w:rsidRPr="00C35FFE">
                <w:rPr>
                  <w:rStyle w:val="Hyperlink"/>
                  <w:color w:val="7030A0"/>
                  <w:sz w:val="22"/>
                </w:rPr>
                <w:t>here</w:t>
              </w:r>
            </w:hyperlink>
            <w:r w:rsidRPr="00C35FFE">
              <w:rPr>
                <w:color w:val="7030A0"/>
                <w:sz w:val="22"/>
              </w:rPr>
              <w:t>.</w:t>
            </w:r>
          </w:p>
        </w:tc>
      </w:tr>
      <w:tr w:rsidR="00DD4792" w:rsidRPr="00E16FD6" w14:paraId="29B007A6" w14:textId="77777777" w:rsidTr="00903C7F">
        <w:tc>
          <w:tcPr>
            <w:tcW w:w="1016" w:type="dxa"/>
          </w:tcPr>
          <w:p w14:paraId="435ECD05" w14:textId="77777777" w:rsidR="00DD4792" w:rsidRPr="0072128F" w:rsidRDefault="00DD4792" w:rsidP="00903C7F">
            <w:pPr>
              <w:pStyle w:val="NoSpacing"/>
              <w:jc w:val="both"/>
              <w:rPr>
                <w:rFonts w:ascii="Arial" w:hAnsi="Arial" w:cs="Arial"/>
              </w:rPr>
            </w:pPr>
            <w:r w:rsidRPr="0072128F">
              <w:rPr>
                <w:rFonts w:ascii="Arial" w:hAnsi="Arial" w:cs="Arial"/>
              </w:rPr>
              <w:lastRenderedPageBreak/>
              <w:t>DOLS</w:t>
            </w:r>
          </w:p>
        </w:tc>
        <w:tc>
          <w:tcPr>
            <w:tcW w:w="2669" w:type="dxa"/>
          </w:tcPr>
          <w:p w14:paraId="26EBFEE0" w14:textId="77777777" w:rsidR="00DD4792" w:rsidRPr="0072128F" w:rsidRDefault="00DD4792" w:rsidP="00903C7F">
            <w:pPr>
              <w:pStyle w:val="NoSpacing"/>
              <w:jc w:val="both"/>
              <w:rPr>
                <w:rFonts w:ascii="Arial" w:hAnsi="Arial" w:cs="Arial"/>
              </w:rPr>
            </w:pPr>
            <w:r w:rsidRPr="0072128F">
              <w:rPr>
                <w:rFonts w:ascii="Arial" w:hAnsi="Arial" w:cs="Arial"/>
              </w:rPr>
              <w:t>Deprivation of Liberty Safeguarding (Order)</w:t>
            </w:r>
          </w:p>
        </w:tc>
        <w:tc>
          <w:tcPr>
            <w:tcW w:w="5331" w:type="dxa"/>
          </w:tcPr>
          <w:p w14:paraId="469DAAD8" w14:textId="77777777" w:rsidR="00DD4792" w:rsidRPr="0072128F" w:rsidRDefault="00DD4792" w:rsidP="00903C7F">
            <w:pPr>
              <w:pStyle w:val="NoSpacing"/>
              <w:jc w:val="both"/>
              <w:rPr>
                <w:rFonts w:ascii="Arial" w:hAnsi="Arial" w:cs="Arial"/>
              </w:rPr>
            </w:pPr>
            <w:r w:rsidRPr="0072128F">
              <w:rPr>
                <w:rFonts w:ascii="Arial" w:hAnsi="Arial" w:cs="Arial"/>
              </w:rPr>
              <w:t>Deprivation of Liberty Safeguards is the procedure prescribed in law when it is necessary to deprive the liberty of a patient who lacks capacity to consent to their care and treatment in order to keep them safe from harm. Further information is available</w:t>
            </w:r>
            <w:r w:rsidRPr="00C35FFE">
              <w:rPr>
                <w:rFonts w:ascii="Arial" w:hAnsi="Arial" w:cs="Arial"/>
                <w:color w:val="7030A0"/>
              </w:rPr>
              <w:t xml:space="preserve"> </w:t>
            </w:r>
            <w:hyperlink r:id="rId41" w:history="1">
              <w:r w:rsidRPr="00C35FFE">
                <w:rPr>
                  <w:rStyle w:val="Hyperlink"/>
                  <w:rFonts w:ascii="Arial" w:hAnsi="Arial" w:cs="Arial"/>
                  <w:color w:val="7030A0"/>
                </w:rPr>
                <w:t>here</w:t>
              </w:r>
            </w:hyperlink>
          </w:p>
        </w:tc>
      </w:tr>
      <w:tr w:rsidR="006442ED" w:rsidRPr="006632D0" w14:paraId="4C38F499" w14:textId="77777777" w:rsidTr="006442ED">
        <w:tc>
          <w:tcPr>
            <w:tcW w:w="1016" w:type="dxa"/>
          </w:tcPr>
          <w:p w14:paraId="54ABCCD0" w14:textId="77777777" w:rsidR="006442ED" w:rsidRPr="0072128F" w:rsidRDefault="006442ED" w:rsidP="003004E7">
            <w:pPr>
              <w:pStyle w:val="NoSpacing"/>
              <w:jc w:val="both"/>
              <w:rPr>
                <w:rFonts w:ascii="Arial" w:hAnsi="Arial" w:cs="Arial"/>
              </w:rPr>
            </w:pPr>
            <w:r>
              <w:rPr>
                <w:rFonts w:ascii="Arial" w:hAnsi="Arial" w:cs="Arial"/>
              </w:rPr>
              <w:t>MAPPA</w:t>
            </w:r>
          </w:p>
        </w:tc>
        <w:tc>
          <w:tcPr>
            <w:tcW w:w="2669" w:type="dxa"/>
          </w:tcPr>
          <w:p w14:paraId="5DDD32A2" w14:textId="77777777" w:rsidR="006442ED" w:rsidRPr="0072128F" w:rsidRDefault="006442ED" w:rsidP="003004E7">
            <w:pPr>
              <w:pStyle w:val="NoSpacing"/>
              <w:jc w:val="both"/>
              <w:rPr>
                <w:rFonts w:ascii="Arial" w:hAnsi="Arial" w:cs="Arial"/>
              </w:rPr>
            </w:pPr>
            <w:r>
              <w:rPr>
                <w:rFonts w:ascii="Arial" w:hAnsi="Arial" w:cs="Arial"/>
              </w:rPr>
              <w:t>Multi Agency Public Protection Arrangements</w:t>
            </w:r>
          </w:p>
        </w:tc>
        <w:tc>
          <w:tcPr>
            <w:tcW w:w="5331" w:type="dxa"/>
          </w:tcPr>
          <w:p w14:paraId="09EC6059" w14:textId="77777777" w:rsidR="006442ED" w:rsidRPr="006632D0" w:rsidRDefault="006442ED" w:rsidP="003004E7">
            <w:pPr>
              <w:jc w:val="both"/>
              <w:rPr>
                <w:sz w:val="22"/>
                <w:lang w:eastAsia="en-GB"/>
              </w:rPr>
            </w:pPr>
            <w:r w:rsidRPr="003004E7">
              <w:rPr>
                <w:color w:val="333333"/>
                <w:sz w:val="22"/>
                <w:lang w:val="en"/>
              </w:rPr>
              <w:t>It is the set of arrangements through which the Police, Probation and Prison Services work together with other agencies to manage the risks posed by violent and sexual offenders living in the community in order to protect the public</w:t>
            </w:r>
          </w:p>
        </w:tc>
      </w:tr>
    </w:tbl>
    <w:p w14:paraId="6A7026B5" w14:textId="5F5DB24B" w:rsidR="00B5017F" w:rsidRDefault="00B5017F" w:rsidP="00DD4792">
      <w:pPr>
        <w:pStyle w:val="Default"/>
        <w:rPr>
          <w:sz w:val="22"/>
          <w:szCs w:val="22"/>
        </w:rPr>
      </w:pPr>
    </w:p>
    <w:p w14:paraId="288DCE93" w14:textId="77777777" w:rsidR="00B5017F" w:rsidRDefault="00B5017F">
      <w:pPr>
        <w:spacing w:after="0" w:line="240" w:lineRule="auto"/>
        <w:rPr>
          <w:rFonts w:eastAsia="Times New Roman"/>
          <w:color w:val="000000"/>
          <w:sz w:val="22"/>
          <w:lang w:eastAsia="en-GB" w:bidi="ar-SA"/>
        </w:rPr>
      </w:pPr>
      <w:r>
        <w:rPr>
          <w:sz w:val="22"/>
        </w:rPr>
        <w:br w:type="page"/>
      </w:r>
    </w:p>
    <w:p w14:paraId="723466EE" w14:textId="77777777" w:rsidR="006E514B" w:rsidRDefault="006E514B" w:rsidP="00DD4792">
      <w:pPr>
        <w:pStyle w:val="Default"/>
        <w:rPr>
          <w:sz w:val="22"/>
          <w:szCs w:val="22"/>
        </w:rPr>
      </w:pPr>
    </w:p>
    <w:p w14:paraId="5015A5BE" w14:textId="05F5BDA6" w:rsidR="00195F5C" w:rsidRPr="00B83DA4" w:rsidRDefault="00195F5C" w:rsidP="00DD4792">
      <w:pPr>
        <w:pStyle w:val="Default"/>
        <w:rPr>
          <w:b/>
          <w:bCs/>
          <w:sz w:val="22"/>
          <w:szCs w:val="22"/>
          <w:u w:val="single"/>
        </w:rPr>
      </w:pPr>
      <w:bookmarkStart w:id="11" w:name="Conditions"/>
      <w:r w:rsidRPr="00B83DA4">
        <w:rPr>
          <w:b/>
          <w:bCs/>
          <w:sz w:val="22"/>
          <w:szCs w:val="22"/>
          <w:u w:val="single"/>
        </w:rPr>
        <w:t xml:space="preserve">Annex B: </w:t>
      </w:r>
      <w:r w:rsidR="0072128F" w:rsidRPr="00B83DA4">
        <w:rPr>
          <w:b/>
          <w:bCs/>
          <w:sz w:val="22"/>
          <w:szCs w:val="22"/>
          <w:u w:val="single"/>
        </w:rPr>
        <w:t>Standard Conditions of Discharge</w:t>
      </w:r>
    </w:p>
    <w:bookmarkEnd w:id="11"/>
    <w:p w14:paraId="3F792A0D" w14:textId="264F0229" w:rsidR="00B5017F" w:rsidRDefault="00B5017F" w:rsidP="00DD4792">
      <w:pPr>
        <w:pStyle w:val="Defaul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A73F2E" w:rsidRPr="00A73F2E" w14:paraId="7948F6B7" w14:textId="77777777" w:rsidTr="4CA5B0BF">
        <w:tc>
          <w:tcPr>
            <w:tcW w:w="5000" w:type="pct"/>
            <w:shd w:val="clear" w:color="auto" w:fill="auto"/>
          </w:tcPr>
          <w:p w14:paraId="3F173B41" w14:textId="01D1A12C" w:rsidR="00A73F2E" w:rsidRPr="00A73F2E" w:rsidRDefault="00A73F2E" w:rsidP="00A73F2E">
            <w:pPr>
              <w:pStyle w:val="NoSpacing"/>
              <w:rPr>
                <w:rFonts w:ascii="Arial" w:hAnsi="Arial" w:cs="Arial"/>
                <w:u w:val="single"/>
                <w:lang w:val="en"/>
              </w:rPr>
            </w:pPr>
            <w:r w:rsidRPr="00A73F2E">
              <w:rPr>
                <w:rFonts w:ascii="Arial" w:hAnsi="Arial" w:cs="Arial"/>
                <w:lang w:val="en"/>
              </w:rPr>
              <w:t>The following are examples</w:t>
            </w:r>
            <w:r>
              <w:rPr>
                <w:rFonts w:ascii="Arial" w:hAnsi="Arial" w:cs="Arial"/>
                <w:lang w:val="en"/>
              </w:rPr>
              <w:t xml:space="preserve"> of conditions which </w:t>
            </w:r>
            <w:r w:rsidR="008A0711">
              <w:rPr>
                <w:rFonts w:ascii="Arial" w:hAnsi="Arial" w:cs="Arial"/>
                <w:lang w:val="en"/>
              </w:rPr>
              <w:t xml:space="preserve">Responsible Clinicians </w:t>
            </w:r>
            <w:r w:rsidR="008A0711" w:rsidRPr="00B83DA4">
              <w:rPr>
                <w:rFonts w:ascii="Arial" w:hAnsi="Arial" w:cs="Arial"/>
                <w:i/>
                <w:iCs/>
                <w:lang w:val="en"/>
              </w:rPr>
              <w:t>may</w:t>
            </w:r>
            <w:r w:rsidR="008A0711">
              <w:rPr>
                <w:rFonts w:ascii="Arial" w:hAnsi="Arial" w:cs="Arial"/>
                <w:lang w:val="en"/>
              </w:rPr>
              <w:t xml:space="preserve"> wish to consider when applying for conditional discharge for their patient</w:t>
            </w:r>
            <w:r w:rsidR="00B83DA4">
              <w:rPr>
                <w:rFonts w:ascii="Arial" w:hAnsi="Arial" w:cs="Arial"/>
                <w:lang w:val="en"/>
              </w:rPr>
              <w:t>.</w:t>
            </w:r>
          </w:p>
        </w:tc>
      </w:tr>
      <w:tr w:rsidR="00A73F2E" w:rsidRPr="00A73F2E" w14:paraId="7766880E" w14:textId="77777777" w:rsidTr="4CA5B0BF">
        <w:tc>
          <w:tcPr>
            <w:tcW w:w="5000" w:type="pct"/>
            <w:shd w:val="clear" w:color="auto" w:fill="auto"/>
          </w:tcPr>
          <w:p w14:paraId="1E7ACB42" w14:textId="77777777" w:rsidR="00B83DA4" w:rsidRDefault="00B83DA4" w:rsidP="00A73F2E">
            <w:pPr>
              <w:pStyle w:val="NoSpacing"/>
              <w:jc w:val="both"/>
              <w:rPr>
                <w:rFonts w:ascii="Arial" w:hAnsi="Arial" w:cs="Arial"/>
              </w:rPr>
            </w:pPr>
          </w:p>
          <w:p w14:paraId="7F2DBCF8" w14:textId="50F9BC4B" w:rsidR="00A73F2E" w:rsidRPr="00A73F2E" w:rsidRDefault="03056D95" w:rsidP="00B83DA4">
            <w:pPr>
              <w:pStyle w:val="NoSpacing"/>
              <w:numPr>
                <w:ilvl w:val="0"/>
                <w:numId w:val="20"/>
              </w:numPr>
              <w:jc w:val="both"/>
              <w:rPr>
                <w:rFonts w:ascii="Arial" w:hAnsi="Arial" w:cs="Arial"/>
              </w:rPr>
            </w:pPr>
            <w:r w:rsidRPr="4CA5B0BF">
              <w:rPr>
                <w:rFonts w:ascii="Arial" w:hAnsi="Arial" w:cs="Arial"/>
              </w:rPr>
              <w:t xml:space="preserve">Reside at [specify address] [24 hour supported/supported/residential accommodation as directed by the RC and social supervisor] [and abide by any rules of the accommodation], and </w:t>
            </w:r>
            <w:r w:rsidR="1BAB879B" w:rsidRPr="4CA5B0BF">
              <w:rPr>
                <w:rFonts w:ascii="Arial" w:hAnsi="Arial" w:cs="Arial"/>
              </w:rPr>
              <w:t>consult with</w:t>
            </w:r>
            <w:r w:rsidRPr="4CA5B0BF">
              <w:rPr>
                <w:rFonts w:ascii="Arial" w:hAnsi="Arial" w:cs="Arial"/>
              </w:rPr>
              <w:t xml:space="preserve"> the responsible clinician and social supervisor for any stay of one or more nights at a different address.</w:t>
            </w:r>
          </w:p>
          <w:p w14:paraId="18B764EA" w14:textId="77777777" w:rsidR="00A73F2E" w:rsidRPr="00A73F2E" w:rsidRDefault="00A73F2E" w:rsidP="00A73F2E">
            <w:pPr>
              <w:pStyle w:val="NoSpacing"/>
              <w:jc w:val="both"/>
              <w:rPr>
                <w:rFonts w:ascii="Arial" w:hAnsi="Arial" w:cs="Arial"/>
              </w:rPr>
            </w:pPr>
          </w:p>
          <w:p w14:paraId="4EA7315C" w14:textId="4EBE4666" w:rsidR="00A73F2E" w:rsidRPr="007A6553" w:rsidRDefault="03056D95" w:rsidP="00B83DA4">
            <w:pPr>
              <w:pStyle w:val="NoSpacing"/>
              <w:numPr>
                <w:ilvl w:val="0"/>
                <w:numId w:val="20"/>
              </w:numPr>
              <w:jc w:val="both"/>
              <w:rPr>
                <w:rFonts w:ascii="Arial" w:hAnsi="Arial" w:cs="Arial"/>
                <w:b/>
                <w:bCs/>
              </w:rPr>
            </w:pPr>
            <w:r w:rsidRPr="4CA5B0BF">
              <w:rPr>
                <w:rFonts w:ascii="Arial" w:hAnsi="Arial" w:cs="Arial"/>
                <w:b/>
                <w:bCs/>
              </w:rPr>
              <w:t xml:space="preserve">NB: The Secretary of State also requires a clause whereby the Ministry of Justice </w:t>
            </w:r>
            <w:r w:rsidR="78D7E06D" w:rsidRPr="4CA5B0BF">
              <w:rPr>
                <w:rFonts w:ascii="Arial" w:hAnsi="Arial" w:cs="Arial"/>
                <w:b/>
                <w:bCs/>
              </w:rPr>
              <w:t xml:space="preserve">and MAPPA </w:t>
            </w:r>
            <w:r w:rsidRPr="4CA5B0BF">
              <w:rPr>
                <w:rFonts w:ascii="Arial" w:hAnsi="Arial" w:cs="Arial"/>
                <w:b/>
                <w:bCs/>
              </w:rPr>
              <w:t>should be informed of any change of address at least 14 days prior to the move taking place</w:t>
            </w:r>
          </w:p>
          <w:p w14:paraId="7F1D73C7" w14:textId="77777777" w:rsidR="00A73F2E" w:rsidRPr="00A73F2E" w:rsidRDefault="00A73F2E" w:rsidP="00A73F2E">
            <w:pPr>
              <w:pStyle w:val="NoSpacing"/>
              <w:jc w:val="both"/>
              <w:rPr>
                <w:rFonts w:ascii="Arial" w:hAnsi="Arial" w:cs="Arial"/>
              </w:rPr>
            </w:pPr>
          </w:p>
          <w:p w14:paraId="27EFA5EF" w14:textId="77777777" w:rsidR="00A73F2E" w:rsidRPr="00A73F2E" w:rsidRDefault="03056D95" w:rsidP="00B83DA4">
            <w:pPr>
              <w:pStyle w:val="NoSpacing"/>
              <w:numPr>
                <w:ilvl w:val="0"/>
                <w:numId w:val="20"/>
              </w:numPr>
              <w:jc w:val="both"/>
              <w:rPr>
                <w:rFonts w:ascii="Arial" w:hAnsi="Arial" w:cs="Arial"/>
              </w:rPr>
            </w:pPr>
            <w:r w:rsidRPr="4CA5B0BF">
              <w:rPr>
                <w:rFonts w:ascii="Arial" w:hAnsi="Arial" w:cs="Arial"/>
              </w:rPr>
              <w:t>Allow access to the accommodation, as reasonably required by the responsible clinician and social supervisor.</w:t>
            </w:r>
          </w:p>
          <w:p w14:paraId="2FBD996B" w14:textId="77777777" w:rsidR="00A73F2E" w:rsidRPr="00A73F2E" w:rsidRDefault="00A73F2E" w:rsidP="00A73F2E">
            <w:pPr>
              <w:pStyle w:val="NoSpacing"/>
              <w:jc w:val="both"/>
              <w:rPr>
                <w:rFonts w:ascii="Arial" w:hAnsi="Arial" w:cs="Arial"/>
              </w:rPr>
            </w:pPr>
          </w:p>
          <w:p w14:paraId="17B35E50" w14:textId="77777777" w:rsidR="00A73F2E" w:rsidRPr="00A73F2E" w:rsidRDefault="03056D95" w:rsidP="00B83DA4">
            <w:pPr>
              <w:pStyle w:val="NoSpacing"/>
              <w:numPr>
                <w:ilvl w:val="0"/>
                <w:numId w:val="20"/>
              </w:numPr>
              <w:jc w:val="both"/>
              <w:rPr>
                <w:rFonts w:ascii="Arial" w:hAnsi="Arial" w:cs="Arial"/>
              </w:rPr>
            </w:pPr>
            <w:r w:rsidRPr="4CA5B0BF">
              <w:rPr>
                <w:rFonts w:ascii="Arial" w:hAnsi="Arial" w:cs="Arial"/>
              </w:rPr>
              <w:t>Comply with medication and other medical treatment [and with monitoring as to medication levels] [including… [Specify here any particular non-pharmacological medical treatment]], as directed by the responsible clinician and social supervisor.</w:t>
            </w:r>
          </w:p>
          <w:p w14:paraId="5735DEA1" w14:textId="77777777" w:rsidR="00A73F2E" w:rsidRPr="00A73F2E" w:rsidRDefault="00A73F2E" w:rsidP="00A73F2E">
            <w:pPr>
              <w:pStyle w:val="NoSpacing"/>
              <w:jc w:val="both"/>
              <w:rPr>
                <w:rFonts w:ascii="Arial" w:hAnsi="Arial" w:cs="Arial"/>
              </w:rPr>
            </w:pPr>
          </w:p>
          <w:p w14:paraId="48AAAFD6" w14:textId="77777777" w:rsidR="00A73F2E" w:rsidRPr="00A73F2E" w:rsidRDefault="03056D95" w:rsidP="00B83DA4">
            <w:pPr>
              <w:pStyle w:val="NoSpacing"/>
              <w:numPr>
                <w:ilvl w:val="0"/>
                <w:numId w:val="20"/>
              </w:numPr>
              <w:jc w:val="both"/>
              <w:rPr>
                <w:rFonts w:ascii="Arial" w:hAnsi="Arial" w:cs="Arial"/>
              </w:rPr>
            </w:pPr>
            <w:r w:rsidRPr="4CA5B0BF">
              <w:rPr>
                <w:rFonts w:ascii="Arial" w:hAnsi="Arial" w:cs="Arial"/>
              </w:rPr>
              <w:t>Engage with and meet the clinical team, as directed by the responsible clinician and social supervisor.</w:t>
            </w:r>
          </w:p>
          <w:p w14:paraId="57288D6A" w14:textId="77777777" w:rsidR="00A73F2E" w:rsidRPr="00A73F2E" w:rsidRDefault="00A73F2E" w:rsidP="00A73F2E">
            <w:pPr>
              <w:pStyle w:val="NoSpacing"/>
              <w:jc w:val="both"/>
              <w:rPr>
                <w:rFonts w:ascii="Arial" w:hAnsi="Arial" w:cs="Arial"/>
              </w:rPr>
            </w:pPr>
          </w:p>
          <w:p w14:paraId="49C61232" w14:textId="77777777" w:rsidR="00A73F2E" w:rsidRPr="00A73F2E" w:rsidRDefault="03056D95" w:rsidP="00B83DA4">
            <w:pPr>
              <w:pStyle w:val="NoSpacing"/>
              <w:numPr>
                <w:ilvl w:val="0"/>
                <w:numId w:val="20"/>
              </w:numPr>
              <w:jc w:val="both"/>
              <w:rPr>
                <w:rFonts w:ascii="Arial" w:hAnsi="Arial" w:cs="Arial"/>
              </w:rPr>
            </w:pPr>
            <w:r w:rsidRPr="4CA5B0BF">
              <w:rPr>
                <w:rFonts w:ascii="Arial" w:hAnsi="Arial" w:cs="Arial"/>
              </w:rPr>
              <w:t>Abstain from alcohol [save as directed by the responsible clinician and social supervisor].</w:t>
            </w:r>
          </w:p>
          <w:p w14:paraId="4EB4D736" w14:textId="77777777" w:rsidR="00A73F2E" w:rsidRPr="00A73F2E" w:rsidRDefault="00A73F2E" w:rsidP="00A73F2E">
            <w:pPr>
              <w:pStyle w:val="NoSpacing"/>
              <w:jc w:val="both"/>
              <w:rPr>
                <w:rFonts w:ascii="Arial" w:hAnsi="Arial" w:cs="Arial"/>
              </w:rPr>
            </w:pPr>
          </w:p>
          <w:p w14:paraId="0AB124A9" w14:textId="1105A7E7" w:rsidR="00A73F2E" w:rsidRPr="00A73F2E" w:rsidRDefault="03056D95" w:rsidP="00B83DA4">
            <w:pPr>
              <w:pStyle w:val="NoSpacing"/>
              <w:numPr>
                <w:ilvl w:val="0"/>
                <w:numId w:val="20"/>
              </w:numPr>
              <w:jc w:val="both"/>
              <w:rPr>
                <w:rFonts w:ascii="Arial" w:hAnsi="Arial" w:cs="Arial"/>
              </w:rPr>
            </w:pPr>
            <w:r w:rsidRPr="4CA5B0BF">
              <w:rPr>
                <w:rFonts w:ascii="Arial" w:hAnsi="Arial" w:cs="Arial"/>
              </w:rPr>
              <w:t>Abstain from illicit drugs.</w:t>
            </w:r>
          </w:p>
          <w:p w14:paraId="48D82C67" w14:textId="77777777" w:rsidR="00A73F2E" w:rsidRPr="00A73F2E" w:rsidRDefault="00A73F2E" w:rsidP="00A73F2E">
            <w:pPr>
              <w:pStyle w:val="NoSpacing"/>
              <w:jc w:val="both"/>
              <w:rPr>
                <w:rFonts w:ascii="Arial" w:hAnsi="Arial" w:cs="Arial"/>
              </w:rPr>
            </w:pPr>
          </w:p>
          <w:p w14:paraId="282C506C" w14:textId="77777777" w:rsidR="00A73F2E" w:rsidRPr="00A73F2E" w:rsidRDefault="03056D95" w:rsidP="00B83DA4">
            <w:pPr>
              <w:pStyle w:val="NoSpacing"/>
              <w:numPr>
                <w:ilvl w:val="0"/>
                <w:numId w:val="20"/>
              </w:numPr>
              <w:jc w:val="both"/>
              <w:rPr>
                <w:rFonts w:ascii="Arial" w:hAnsi="Arial" w:cs="Arial"/>
              </w:rPr>
            </w:pPr>
            <w:r w:rsidRPr="4CA5B0BF">
              <w:rPr>
                <w:rFonts w:ascii="Arial" w:hAnsi="Arial" w:cs="Arial"/>
              </w:rPr>
              <w:t>Submit to random drugs and alcohol testing, as directed by the responsible clinician and social supervisor.</w:t>
            </w:r>
          </w:p>
          <w:p w14:paraId="47161361" w14:textId="77777777" w:rsidR="00A73F2E" w:rsidRPr="00A73F2E" w:rsidRDefault="00A73F2E" w:rsidP="00A73F2E">
            <w:pPr>
              <w:pStyle w:val="NoSpacing"/>
              <w:jc w:val="both"/>
              <w:rPr>
                <w:rFonts w:ascii="Arial" w:hAnsi="Arial" w:cs="Arial"/>
              </w:rPr>
            </w:pPr>
          </w:p>
          <w:p w14:paraId="34F24967" w14:textId="7B6BDF3B" w:rsidR="00A73F2E" w:rsidRPr="00A73F2E" w:rsidRDefault="03056D95" w:rsidP="00B83DA4">
            <w:pPr>
              <w:pStyle w:val="NoSpacing"/>
              <w:numPr>
                <w:ilvl w:val="0"/>
                <w:numId w:val="20"/>
              </w:numPr>
              <w:jc w:val="both"/>
              <w:rPr>
                <w:rFonts w:ascii="Arial" w:hAnsi="Arial" w:cs="Arial"/>
              </w:rPr>
            </w:pPr>
            <w:r w:rsidRPr="4CA5B0BF">
              <w:rPr>
                <w:rFonts w:ascii="Arial" w:hAnsi="Arial" w:cs="Arial"/>
              </w:rPr>
              <w:t xml:space="preserve">Not </w:t>
            </w:r>
            <w:r w:rsidR="224DD12E" w:rsidRPr="4CA5B0BF">
              <w:rPr>
                <w:rFonts w:ascii="Arial" w:hAnsi="Arial" w:cs="Arial"/>
              </w:rPr>
              <w:t xml:space="preserve">to </w:t>
            </w:r>
            <w:r w:rsidRPr="4CA5B0BF">
              <w:rPr>
                <w:rFonts w:ascii="Arial" w:hAnsi="Arial" w:cs="Arial"/>
              </w:rPr>
              <w:t>enter the area[s] of [specify general location] as delineated by the zone[s] marked on the map[s] supplied by [specify name of person/organisation producing map]</w:t>
            </w:r>
            <w:r w:rsidR="1F9FCB15" w:rsidRPr="4CA5B0BF">
              <w:rPr>
                <w:rFonts w:ascii="Arial" w:hAnsi="Arial" w:cs="Arial"/>
              </w:rPr>
              <w:t xml:space="preserve"> [</w:t>
            </w:r>
            <w:r w:rsidRPr="4CA5B0BF">
              <w:rPr>
                <w:rFonts w:ascii="Arial" w:hAnsi="Arial" w:cs="Arial"/>
              </w:rPr>
              <w:t>save as agreed in advance by the responsible clinician and social supervisor</w:t>
            </w:r>
            <w:r w:rsidR="21C89541" w:rsidRPr="4CA5B0BF">
              <w:rPr>
                <w:rFonts w:ascii="Arial" w:hAnsi="Arial" w:cs="Arial"/>
              </w:rPr>
              <w:t>]</w:t>
            </w:r>
            <w:r w:rsidRPr="4CA5B0BF">
              <w:rPr>
                <w:rFonts w:ascii="Arial" w:hAnsi="Arial" w:cs="Arial"/>
              </w:rPr>
              <w:t>.</w:t>
            </w:r>
          </w:p>
          <w:p w14:paraId="4DF6D41A" w14:textId="77777777" w:rsidR="00A73F2E" w:rsidRPr="00A73F2E" w:rsidRDefault="00A73F2E" w:rsidP="00A73F2E">
            <w:pPr>
              <w:pStyle w:val="NoSpacing"/>
              <w:jc w:val="both"/>
              <w:rPr>
                <w:rFonts w:ascii="Arial" w:hAnsi="Arial" w:cs="Arial"/>
              </w:rPr>
            </w:pPr>
          </w:p>
          <w:p w14:paraId="1133C190" w14:textId="7F87A9A0" w:rsidR="00A73F2E" w:rsidRPr="00A73F2E" w:rsidRDefault="03056D95" w:rsidP="00B83DA4">
            <w:pPr>
              <w:pStyle w:val="NoSpacing"/>
              <w:numPr>
                <w:ilvl w:val="0"/>
                <w:numId w:val="20"/>
              </w:numPr>
              <w:jc w:val="both"/>
              <w:rPr>
                <w:rFonts w:ascii="Arial" w:hAnsi="Arial" w:cs="Arial"/>
              </w:rPr>
            </w:pPr>
            <w:r w:rsidRPr="4CA5B0BF">
              <w:rPr>
                <w:rFonts w:ascii="Arial" w:hAnsi="Arial" w:cs="Arial"/>
              </w:rPr>
              <w:t>Not seek to contact directly or indirectly [specify names</w:t>
            </w:r>
            <w:r w:rsidR="21C89541" w:rsidRPr="4CA5B0BF">
              <w:rPr>
                <w:rFonts w:ascii="Arial" w:hAnsi="Arial" w:cs="Arial"/>
              </w:rPr>
              <w:t xml:space="preserve"> or use ‘victim(s</w:t>
            </w:r>
            <w:r w:rsidR="63860CC6" w:rsidRPr="4CA5B0BF">
              <w:rPr>
                <w:rFonts w:ascii="Arial" w:hAnsi="Arial" w:cs="Arial"/>
              </w:rPr>
              <w:t>)</w:t>
            </w:r>
            <w:r w:rsidR="21C89541" w:rsidRPr="4CA5B0BF">
              <w:rPr>
                <w:rFonts w:ascii="Arial" w:hAnsi="Arial" w:cs="Arial"/>
              </w:rPr>
              <w:t xml:space="preserve"> of the index offence’</w:t>
            </w:r>
            <w:r w:rsidRPr="4CA5B0BF">
              <w:rPr>
                <w:rFonts w:ascii="Arial" w:hAnsi="Arial" w:cs="Arial"/>
              </w:rPr>
              <w:t>].</w:t>
            </w:r>
          </w:p>
          <w:p w14:paraId="09957C2B" w14:textId="77777777" w:rsidR="00A73F2E" w:rsidRPr="00A73F2E" w:rsidRDefault="00A73F2E" w:rsidP="00A73F2E">
            <w:pPr>
              <w:pStyle w:val="NoSpacing"/>
              <w:jc w:val="both"/>
              <w:rPr>
                <w:rFonts w:ascii="Arial" w:hAnsi="Arial" w:cs="Arial"/>
              </w:rPr>
            </w:pPr>
          </w:p>
          <w:p w14:paraId="7BD967C9" w14:textId="612B4E9D" w:rsidR="005E4A25" w:rsidRPr="006F218C" w:rsidRDefault="03056D95" w:rsidP="004C7228">
            <w:pPr>
              <w:pStyle w:val="NoSpacing"/>
              <w:numPr>
                <w:ilvl w:val="0"/>
                <w:numId w:val="20"/>
              </w:numPr>
              <w:jc w:val="both"/>
              <w:rPr>
                <w:rFonts w:ascii="Arial" w:hAnsi="Arial" w:cs="Arial"/>
              </w:rPr>
            </w:pPr>
            <w:r w:rsidRPr="006F218C">
              <w:rPr>
                <w:rFonts w:ascii="Arial" w:hAnsi="Arial" w:cs="Arial"/>
              </w:rPr>
              <w:t>Disclose to the responsible clinician and social supervisor any developing intimate relationship with any other person.</w:t>
            </w:r>
            <w:r w:rsidR="1B121959" w:rsidRPr="006F218C">
              <w:rPr>
                <w:rFonts w:ascii="Arial" w:hAnsi="Arial" w:cs="Arial"/>
                <w:b/>
                <w:bCs/>
                <w:color w:val="FF0000"/>
              </w:rPr>
              <w:t xml:space="preserve"> </w:t>
            </w:r>
          </w:p>
          <w:p w14:paraId="5573CEED" w14:textId="77777777" w:rsidR="006F218C" w:rsidRPr="006F218C" w:rsidRDefault="006F218C" w:rsidP="006F218C">
            <w:pPr>
              <w:pStyle w:val="NoSpacing"/>
              <w:jc w:val="both"/>
              <w:rPr>
                <w:rFonts w:ascii="Arial" w:hAnsi="Arial" w:cs="Arial"/>
              </w:rPr>
            </w:pPr>
          </w:p>
          <w:p w14:paraId="4C55C2CF" w14:textId="77777777" w:rsidR="00A73F2E" w:rsidRPr="00A73F2E" w:rsidRDefault="03056D95" w:rsidP="00B83DA4">
            <w:pPr>
              <w:pStyle w:val="NoSpacing"/>
              <w:numPr>
                <w:ilvl w:val="0"/>
                <w:numId w:val="20"/>
              </w:numPr>
              <w:jc w:val="both"/>
              <w:rPr>
                <w:rFonts w:ascii="Arial" w:hAnsi="Arial" w:cs="Arial"/>
              </w:rPr>
            </w:pPr>
            <w:r w:rsidRPr="4CA5B0BF">
              <w:rPr>
                <w:rFonts w:ascii="Arial" w:hAnsi="Arial" w:cs="Arial"/>
              </w:rPr>
              <w:t>Disclose all pending and current [employment, whether paid or voluntary] [all educational activities] [all community activities] to the responsible clinician and social supervisor.</w:t>
            </w:r>
          </w:p>
          <w:p w14:paraId="111F58BE" w14:textId="77777777" w:rsidR="00A73F2E" w:rsidRPr="00A73F2E" w:rsidRDefault="00A73F2E" w:rsidP="00A73F2E">
            <w:pPr>
              <w:pStyle w:val="NoSpacing"/>
              <w:jc w:val="both"/>
              <w:rPr>
                <w:rFonts w:ascii="Arial" w:hAnsi="Arial" w:cs="Arial"/>
              </w:rPr>
            </w:pPr>
          </w:p>
          <w:p w14:paraId="7A9C26D2" w14:textId="5EE8ECA3" w:rsidR="00A73F2E" w:rsidRPr="00A73F2E" w:rsidRDefault="03056D95" w:rsidP="00B83DA4">
            <w:pPr>
              <w:pStyle w:val="NoSpacing"/>
              <w:numPr>
                <w:ilvl w:val="0"/>
                <w:numId w:val="20"/>
              </w:numPr>
              <w:jc w:val="both"/>
              <w:rPr>
                <w:rFonts w:ascii="Arial" w:hAnsi="Arial" w:cs="Arial"/>
              </w:rPr>
            </w:pPr>
            <w:r w:rsidRPr="4CA5B0BF">
              <w:rPr>
                <w:rFonts w:ascii="Arial" w:hAnsi="Arial" w:cs="Arial"/>
              </w:rPr>
              <w:t xml:space="preserve">Not leave the UK without </w:t>
            </w:r>
            <w:r w:rsidR="63860CC6" w:rsidRPr="4CA5B0BF">
              <w:rPr>
                <w:rFonts w:ascii="Arial" w:hAnsi="Arial" w:cs="Arial"/>
              </w:rPr>
              <w:t>consulting</w:t>
            </w:r>
            <w:r w:rsidRPr="4CA5B0BF">
              <w:rPr>
                <w:rFonts w:ascii="Arial" w:hAnsi="Arial" w:cs="Arial"/>
              </w:rPr>
              <w:t xml:space="preserve"> the responsible clinician and social supervisor.</w:t>
            </w:r>
          </w:p>
          <w:p w14:paraId="538A3029" w14:textId="77777777" w:rsidR="00A73F2E" w:rsidRPr="00A73F2E" w:rsidRDefault="00A73F2E" w:rsidP="00A73F2E">
            <w:pPr>
              <w:pStyle w:val="NoSpacing"/>
              <w:rPr>
                <w:rFonts w:ascii="Arial" w:hAnsi="Arial" w:cs="Arial"/>
                <w:u w:val="single"/>
                <w:lang w:val="en"/>
              </w:rPr>
            </w:pPr>
          </w:p>
        </w:tc>
      </w:tr>
    </w:tbl>
    <w:p w14:paraId="4012936B" w14:textId="77777777" w:rsidR="00B5017F" w:rsidRDefault="00B5017F" w:rsidP="00DD4792">
      <w:pPr>
        <w:pStyle w:val="Default"/>
        <w:rPr>
          <w:sz w:val="22"/>
          <w:szCs w:val="22"/>
        </w:rPr>
      </w:pPr>
    </w:p>
    <w:p w14:paraId="74C0373E" w14:textId="0D144521" w:rsidR="0072128F" w:rsidRDefault="0072128F" w:rsidP="00DD4792">
      <w:pPr>
        <w:pStyle w:val="Default"/>
        <w:rPr>
          <w:sz w:val="22"/>
          <w:szCs w:val="22"/>
        </w:rPr>
      </w:pPr>
    </w:p>
    <w:p w14:paraId="5DACC35A" w14:textId="77777777" w:rsidR="0072128F" w:rsidRPr="00EB5255" w:rsidRDefault="0072128F" w:rsidP="00DD4792">
      <w:pPr>
        <w:pStyle w:val="Default"/>
        <w:rPr>
          <w:sz w:val="22"/>
          <w:szCs w:val="22"/>
        </w:rPr>
      </w:pPr>
    </w:p>
    <w:sectPr w:rsidR="0072128F" w:rsidRPr="00EB5255" w:rsidSect="00F96024">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0941" w14:textId="77777777" w:rsidR="0039499A" w:rsidRDefault="0039499A" w:rsidP="007D199A">
      <w:pPr>
        <w:spacing w:after="0"/>
      </w:pPr>
      <w:r>
        <w:separator/>
      </w:r>
    </w:p>
  </w:endnote>
  <w:endnote w:type="continuationSeparator" w:id="0">
    <w:p w14:paraId="0A7173BB" w14:textId="77777777" w:rsidR="0039499A" w:rsidRDefault="0039499A" w:rsidP="007D1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D88C" w14:textId="77777777" w:rsidR="000472A3" w:rsidRDefault="00047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456312"/>
      <w:docPartObj>
        <w:docPartGallery w:val="Page Numbers (Bottom of Page)"/>
        <w:docPartUnique/>
      </w:docPartObj>
    </w:sdtPr>
    <w:sdtEndPr>
      <w:rPr>
        <w:noProof/>
      </w:rPr>
    </w:sdtEndPr>
    <w:sdtContent>
      <w:p w14:paraId="6E32B007" w14:textId="4671C103" w:rsidR="00F96024" w:rsidRDefault="00F960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5EEB27" w14:textId="70B70749" w:rsidR="00853668" w:rsidRDefault="00853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7401" w14:textId="77777777" w:rsidR="00AD6DD0" w:rsidRDefault="00AD6DD0">
    <w:pPr>
      <w:pStyle w:val="Footer"/>
    </w:pPr>
    <w:r>
      <w:rPr>
        <w:noProof/>
        <w:lang w:eastAsia="en-GB" w:bidi="ar-SA"/>
      </w:rPr>
      <w:drawing>
        <wp:anchor distT="0" distB="1778" distL="114300" distR="114300" simplePos="0" relativeHeight="251656192" behindDoc="1" locked="1" layoutInCell="1" allowOverlap="1" wp14:anchorId="07A04EA8" wp14:editId="2BF647AB">
          <wp:simplePos x="0" y="0"/>
          <wp:positionH relativeFrom="page">
            <wp:align>left</wp:align>
          </wp:positionH>
          <wp:positionV relativeFrom="page">
            <wp:align>bottom</wp:align>
          </wp:positionV>
          <wp:extent cx="7560310" cy="2059432"/>
          <wp:effectExtent l="0" t="0" r="2540" b="0"/>
          <wp:wrapNone/>
          <wp:docPr id="3"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97D3" w14:textId="77777777" w:rsidR="0039499A" w:rsidRPr="00BB3712" w:rsidRDefault="0039499A" w:rsidP="005E0344">
      <w:pPr>
        <w:spacing w:after="120"/>
        <w:rPr>
          <w:color w:val="7F4098"/>
        </w:rPr>
      </w:pPr>
      <w:r w:rsidRPr="00BB3712">
        <w:rPr>
          <w:color w:val="7F4098"/>
        </w:rPr>
        <w:separator/>
      </w:r>
    </w:p>
  </w:footnote>
  <w:footnote w:type="continuationSeparator" w:id="0">
    <w:p w14:paraId="08EBB40E" w14:textId="77777777" w:rsidR="0039499A" w:rsidRPr="00BB3712" w:rsidRDefault="0039499A" w:rsidP="0090581D">
      <w:pPr>
        <w:spacing w:after="120"/>
        <w:rPr>
          <w:color w:val="7F4098"/>
        </w:rPr>
      </w:pPr>
      <w:r w:rsidRPr="00BB3712">
        <w:rPr>
          <w:color w:val="7F4098"/>
        </w:rPr>
        <w:continuationSeparator/>
      </w:r>
    </w:p>
  </w:footnote>
  <w:footnote w:type="continuationNotice" w:id="1">
    <w:p w14:paraId="743A44E9" w14:textId="77777777" w:rsidR="0039499A" w:rsidRDefault="003949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9017" w14:textId="17723063" w:rsidR="000472A3" w:rsidRDefault="00047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E672" w14:textId="12B70AFA" w:rsidR="000C6B08" w:rsidRDefault="000C6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C6F8" w14:textId="470EA239" w:rsidR="00AD6DD0" w:rsidRDefault="00AD6DD0">
    <w:pPr>
      <w:pStyle w:val="Header"/>
    </w:pPr>
    <w:r>
      <w:rPr>
        <w:noProof/>
        <w:lang w:eastAsia="en-GB" w:bidi="ar-SA"/>
      </w:rPr>
      <w:drawing>
        <wp:anchor distT="0" distB="0" distL="114300" distR="114300" simplePos="0" relativeHeight="251657216" behindDoc="1" locked="1" layoutInCell="1" allowOverlap="1" wp14:anchorId="76E1FE7C" wp14:editId="56ECC631">
          <wp:simplePos x="0" y="0"/>
          <wp:positionH relativeFrom="page">
            <wp:align>left</wp:align>
          </wp:positionH>
          <wp:positionV relativeFrom="page">
            <wp:posOffset>1864995</wp:posOffset>
          </wp:positionV>
          <wp:extent cx="7560310" cy="6851015"/>
          <wp:effectExtent l="0" t="0" r="2540" b="0"/>
          <wp:wrapNone/>
          <wp:docPr id="1"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bidi="ar-SA"/>
      </w:rPr>
      <w:drawing>
        <wp:anchor distT="0" distB="0" distL="114300" distR="114300" simplePos="0" relativeHeight="251658240" behindDoc="1" locked="1" layoutInCell="1" allowOverlap="1" wp14:anchorId="547C3C69" wp14:editId="3D267697">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2"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2D36"/>
    <w:multiLevelType w:val="hybridMultilevel"/>
    <w:tmpl w:val="759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839E2"/>
    <w:multiLevelType w:val="hybridMultilevel"/>
    <w:tmpl w:val="BC9E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8C3"/>
    <w:multiLevelType w:val="hybridMultilevel"/>
    <w:tmpl w:val="93FE01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5095D"/>
    <w:multiLevelType w:val="hybridMultilevel"/>
    <w:tmpl w:val="A7723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B4B31"/>
    <w:multiLevelType w:val="hybridMultilevel"/>
    <w:tmpl w:val="AA0E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13CEC"/>
    <w:multiLevelType w:val="hybridMultilevel"/>
    <w:tmpl w:val="AFD2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D5B0F"/>
    <w:multiLevelType w:val="hybridMultilevel"/>
    <w:tmpl w:val="E4A4E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332E5B"/>
    <w:multiLevelType w:val="multilevel"/>
    <w:tmpl w:val="00C273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97999"/>
    <w:multiLevelType w:val="hybridMultilevel"/>
    <w:tmpl w:val="720A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30603D"/>
    <w:multiLevelType w:val="hybridMultilevel"/>
    <w:tmpl w:val="A272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E20A7"/>
    <w:multiLevelType w:val="hybridMultilevel"/>
    <w:tmpl w:val="B7E422F4"/>
    <w:lvl w:ilvl="0" w:tplc="5EB22AF6">
      <w:start w:val="1"/>
      <w:numFmt w:val="bullet"/>
      <w:lvlText w:val="•"/>
      <w:lvlJc w:val="left"/>
      <w:pPr>
        <w:tabs>
          <w:tab w:val="num" w:pos="720"/>
        </w:tabs>
        <w:ind w:left="720" w:hanging="360"/>
      </w:pPr>
      <w:rPr>
        <w:rFonts w:ascii="Arial" w:hAnsi="Arial" w:cs="Times New Roman" w:hint="default"/>
      </w:rPr>
    </w:lvl>
    <w:lvl w:ilvl="1" w:tplc="81A2A1E4">
      <w:start w:val="1"/>
      <w:numFmt w:val="bullet"/>
      <w:lvlText w:val="•"/>
      <w:lvlJc w:val="left"/>
      <w:pPr>
        <w:tabs>
          <w:tab w:val="num" w:pos="1440"/>
        </w:tabs>
        <w:ind w:left="1440" w:hanging="360"/>
      </w:pPr>
      <w:rPr>
        <w:rFonts w:ascii="Arial" w:hAnsi="Arial" w:cs="Times New Roman" w:hint="default"/>
      </w:rPr>
    </w:lvl>
    <w:lvl w:ilvl="2" w:tplc="56380D88">
      <w:start w:val="1"/>
      <w:numFmt w:val="bullet"/>
      <w:lvlText w:val="•"/>
      <w:lvlJc w:val="left"/>
      <w:pPr>
        <w:tabs>
          <w:tab w:val="num" w:pos="2160"/>
        </w:tabs>
        <w:ind w:left="2160" w:hanging="360"/>
      </w:pPr>
      <w:rPr>
        <w:rFonts w:ascii="Arial" w:hAnsi="Arial" w:cs="Times New Roman" w:hint="default"/>
      </w:rPr>
    </w:lvl>
    <w:lvl w:ilvl="3" w:tplc="81E48030">
      <w:start w:val="1"/>
      <w:numFmt w:val="bullet"/>
      <w:lvlText w:val="•"/>
      <w:lvlJc w:val="left"/>
      <w:pPr>
        <w:tabs>
          <w:tab w:val="num" w:pos="2880"/>
        </w:tabs>
        <w:ind w:left="2880" w:hanging="360"/>
      </w:pPr>
      <w:rPr>
        <w:rFonts w:ascii="Arial" w:hAnsi="Arial" w:cs="Times New Roman" w:hint="default"/>
      </w:rPr>
    </w:lvl>
    <w:lvl w:ilvl="4" w:tplc="45F89D18">
      <w:start w:val="1"/>
      <w:numFmt w:val="bullet"/>
      <w:lvlText w:val="•"/>
      <w:lvlJc w:val="left"/>
      <w:pPr>
        <w:tabs>
          <w:tab w:val="num" w:pos="3600"/>
        </w:tabs>
        <w:ind w:left="3600" w:hanging="360"/>
      </w:pPr>
      <w:rPr>
        <w:rFonts w:ascii="Arial" w:hAnsi="Arial" w:cs="Times New Roman" w:hint="default"/>
      </w:rPr>
    </w:lvl>
    <w:lvl w:ilvl="5" w:tplc="42D43566">
      <w:start w:val="1"/>
      <w:numFmt w:val="bullet"/>
      <w:lvlText w:val="•"/>
      <w:lvlJc w:val="left"/>
      <w:pPr>
        <w:tabs>
          <w:tab w:val="num" w:pos="4320"/>
        </w:tabs>
        <w:ind w:left="4320" w:hanging="360"/>
      </w:pPr>
      <w:rPr>
        <w:rFonts w:ascii="Arial" w:hAnsi="Arial" w:cs="Times New Roman" w:hint="default"/>
      </w:rPr>
    </w:lvl>
    <w:lvl w:ilvl="6" w:tplc="00226FC2">
      <w:start w:val="1"/>
      <w:numFmt w:val="bullet"/>
      <w:lvlText w:val="•"/>
      <w:lvlJc w:val="left"/>
      <w:pPr>
        <w:tabs>
          <w:tab w:val="num" w:pos="5040"/>
        </w:tabs>
        <w:ind w:left="5040" w:hanging="360"/>
      </w:pPr>
      <w:rPr>
        <w:rFonts w:ascii="Arial" w:hAnsi="Arial" w:cs="Times New Roman" w:hint="default"/>
      </w:rPr>
    </w:lvl>
    <w:lvl w:ilvl="7" w:tplc="ED1E3660">
      <w:start w:val="1"/>
      <w:numFmt w:val="bullet"/>
      <w:lvlText w:val="•"/>
      <w:lvlJc w:val="left"/>
      <w:pPr>
        <w:tabs>
          <w:tab w:val="num" w:pos="5760"/>
        </w:tabs>
        <w:ind w:left="5760" w:hanging="360"/>
      </w:pPr>
      <w:rPr>
        <w:rFonts w:ascii="Arial" w:hAnsi="Arial" w:cs="Times New Roman" w:hint="default"/>
      </w:rPr>
    </w:lvl>
    <w:lvl w:ilvl="8" w:tplc="48A07858">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66866C8B"/>
    <w:multiLevelType w:val="hybridMultilevel"/>
    <w:tmpl w:val="99799374"/>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14" w15:restartNumberingAfterBreak="0">
    <w:nsid w:val="66866C8C"/>
    <w:multiLevelType w:val="hybridMultilevel"/>
    <w:tmpl w:val="99799373"/>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15" w15:restartNumberingAfterBreak="0">
    <w:nsid w:val="66866C8D"/>
    <w:multiLevelType w:val="hybridMultilevel"/>
    <w:tmpl w:val="99799372"/>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16" w15:restartNumberingAfterBreak="0">
    <w:nsid w:val="67D35CDE"/>
    <w:multiLevelType w:val="hybridMultilevel"/>
    <w:tmpl w:val="32B4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D7250"/>
    <w:multiLevelType w:val="hybridMultilevel"/>
    <w:tmpl w:val="934676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30530"/>
    <w:multiLevelType w:val="hybridMultilevel"/>
    <w:tmpl w:val="196A7C74"/>
    <w:lvl w:ilvl="0" w:tplc="C6C858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8120698">
    <w:abstractNumId w:val="18"/>
  </w:num>
  <w:num w:numId="2" w16cid:durableId="1855880486">
    <w:abstractNumId w:val="9"/>
  </w:num>
  <w:num w:numId="3" w16cid:durableId="478229463">
    <w:abstractNumId w:val="5"/>
  </w:num>
  <w:num w:numId="4" w16cid:durableId="221643755">
    <w:abstractNumId w:val="7"/>
  </w:num>
  <w:num w:numId="5" w16cid:durableId="927345108">
    <w:abstractNumId w:val="0"/>
  </w:num>
  <w:num w:numId="6" w16cid:durableId="1362586570">
    <w:abstractNumId w:val="6"/>
  </w:num>
  <w:num w:numId="7" w16cid:durableId="875895201">
    <w:abstractNumId w:val="4"/>
  </w:num>
  <w:num w:numId="8" w16cid:durableId="268897702">
    <w:abstractNumId w:val="2"/>
  </w:num>
  <w:num w:numId="9" w16cid:durableId="1295986982">
    <w:abstractNumId w:val="1"/>
  </w:num>
  <w:num w:numId="10" w16cid:durableId="376513361">
    <w:abstractNumId w:val="10"/>
  </w:num>
  <w:num w:numId="11" w16cid:durableId="335353035">
    <w:abstractNumId w:val="14"/>
  </w:num>
  <w:num w:numId="12" w16cid:durableId="2135831504">
    <w:abstractNumId w:val="15"/>
  </w:num>
  <w:num w:numId="13" w16cid:durableId="842937754">
    <w:abstractNumId w:val="13"/>
  </w:num>
  <w:num w:numId="14" w16cid:durableId="1990860320">
    <w:abstractNumId w:val="17"/>
  </w:num>
  <w:num w:numId="15" w16cid:durableId="1379934868">
    <w:abstractNumId w:val="19"/>
  </w:num>
  <w:num w:numId="16" w16cid:durableId="1391615832">
    <w:abstractNumId w:val="8"/>
  </w:num>
  <w:num w:numId="17" w16cid:durableId="93476243">
    <w:abstractNumId w:val="12"/>
  </w:num>
  <w:num w:numId="18" w16cid:durableId="2099910473">
    <w:abstractNumId w:val="11"/>
  </w:num>
  <w:num w:numId="19" w16cid:durableId="830566116">
    <w:abstractNumId w:val="3"/>
  </w:num>
  <w:num w:numId="20" w16cid:durableId="168227223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50"/>
    <w:rsid w:val="00001974"/>
    <w:rsid w:val="00006254"/>
    <w:rsid w:val="00014814"/>
    <w:rsid w:val="00024522"/>
    <w:rsid w:val="00024B2E"/>
    <w:rsid w:val="00025292"/>
    <w:rsid w:val="00027861"/>
    <w:rsid w:val="00030430"/>
    <w:rsid w:val="0003078E"/>
    <w:rsid w:val="00031B89"/>
    <w:rsid w:val="00032759"/>
    <w:rsid w:val="00032E91"/>
    <w:rsid w:val="0003693D"/>
    <w:rsid w:val="00040C89"/>
    <w:rsid w:val="0004440F"/>
    <w:rsid w:val="00044BA6"/>
    <w:rsid w:val="000472A3"/>
    <w:rsid w:val="00052C8A"/>
    <w:rsid w:val="0005444C"/>
    <w:rsid w:val="00061FE4"/>
    <w:rsid w:val="00064B90"/>
    <w:rsid w:val="00066BF2"/>
    <w:rsid w:val="000758E7"/>
    <w:rsid w:val="00082879"/>
    <w:rsid w:val="000847F2"/>
    <w:rsid w:val="00084DA2"/>
    <w:rsid w:val="00086EB6"/>
    <w:rsid w:val="00094FBE"/>
    <w:rsid w:val="000B3EAB"/>
    <w:rsid w:val="000B418A"/>
    <w:rsid w:val="000B51BA"/>
    <w:rsid w:val="000B526E"/>
    <w:rsid w:val="000C6B06"/>
    <w:rsid w:val="000C6B08"/>
    <w:rsid w:val="000C78A6"/>
    <w:rsid w:val="000D2FD4"/>
    <w:rsid w:val="000E7361"/>
    <w:rsid w:val="000F0296"/>
    <w:rsid w:val="000F19EB"/>
    <w:rsid w:val="000F31E6"/>
    <w:rsid w:val="000F4059"/>
    <w:rsid w:val="001028E8"/>
    <w:rsid w:val="00110C2E"/>
    <w:rsid w:val="00112E37"/>
    <w:rsid w:val="00116E81"/>
    <w:rsid w:val="00117BD7"/>
    <w:rsid w:val="00122367"/>
    <w:rsid w:val="0012584B"/>
    <w:rsid w:val="001337AE"/>
    <w:rsid w:val="0014414E"/>
    <w:rsid w:val="00145AFE"/>
    <w:rsid w:val="00146168"/>
    <w:rsid w:val="00151F69"/>
    <w:rsid w:val="00153AB7"/>
    <w:rsid w:val="00154B59"/>
    <w:rsid w:val="00156670"/>
    <w:rsid w:val="001571E5"/>
    <w:rsid w:val="0016158C"/>
    <w:rsid w:val="001616C0"/>
    <w:rsid w:val="00161897"/>
    <w:rsid w:val="0016601E"/>
    <w:rsid w:val="00171678"/>
    <w:rsid w:val="00171D9F"/>
    <w:rsid w:val="00173841"/>
    <w:rsid w:val="001746E0"/>
    <w:rsid w:val="001812D1"/>
    <w:rsid w:val="001849CA"/>
    <w:rsid w:val="00185D98"/>
    <w:rsid w:val="001863FF"/>
    <w:rsid w:val="001905C6"/>
    <w:rsid w:val="00190AED"/>
    <w:rsid w:val="00191C75"/>
    <w:rsid w:val="00192352"/>
    <w:rsid w:val="00195DE3"/>
    <w:rsid w:val="00195F5C"/>
    <w:rsid w:val="001A0912"/>
    <w:rsid w:val="001A2F4C"/>
    <w:rsid w:val="001A52A7"/>
    <w:rsid w:val="001A5CF6"/>
    <w:rsid w:val="001A6D5B"/>
    <w:rsid w:val="001B366C"/>
    <w:rsid w:val="001B5392"/>
    <w:rsid w:val="001B5E54"/>
    <w:rsid w:val="001C0193"/>
    <w:rsid w:val="001C1BCF"/>
    <w:rsid w:val="001C35AC"/>
    <w:rsid w:val="001C4D63"/>
    <w:rsid w:val="001D0DE0"/>
    <w:rsid w:val="001D238E"/>
    <w:rsid w:val="001D36CB"/>
    <w:rsid w:val="001D7885"/>
    <w:rsid w:val="001E0381"/>
    <w:rsid w:val="001E25EF"/>
    <w:rsid w:val="001E2F00"/>
    <w:rsid w:val="001F0120"/>
    <w:rsid w:val="001F04CF"/>
    <w:rsid w:val="001F059F"/>
    <w:rsid w:val="001F24A4"/>
    <w:rsid w:val="001F6381"/>
    <w:rsid w:val="001F70C1"/>
    <w:rsid w:val="00200811"/>
    <w:rsid w:val="00203016"/>
    <w:rsid w:val="00211A6C"/>
    <w:rsid w:val="0021325A"/>
    <w:rsid w:val="0021338D"/>
    <w:rsid w:val="002252FF"/>
    <w:rsid w:val="002319AB"/>
    <w:rsid w:val="00234342"/>
    <w:rsid w:val="002345C5"/>
    <w:rsid w:val="00234948"/>
    <w:rsid w:val="002364E3"/>
    <w:rsid w:val="00236D24"/>
    <w:rsid w:val="00237273"/>
    <w:rsid w:val="0024040D"/>
    <w:rsid w:val="00240770"/>
    <w:rsid w:val="002409F7"/>
    <w:rsid w:val="00255FA3"/>
    <w:rsid w:val="00257750"/>
    <w:rsid w:val="002577A2"/>
    <w:rsid w:val="0026191A"/>
    <w:rsid w:val="0026235D"/>
    <w:rsid w:val="002629F8"/>
    <w:rsid w:val="00262D6E"/>
    <w:rsid w:val="00263396"/>
    <w:rsid w:val="00264971"/>
    <w:rsid w:val="00267815"/>
    <w:rsid w:val="00267E20"/>
    <w:rsid w:val="0027012E"/>
    <w:rsid w:val="002734AC"/>
    <w:rsid w:val="00275C08"/>
    <w:rsid w:val="00277146"/>
    <w:rsid w:val="00280DDF"/>
    <w:rsid w:val="00287E16"/>
    <w:rsid w:val="002917FF"/>
    <w:rsid w:val="00292ADF"/>
    <w:rsid w:val="00295856"/>
    <w:rsid w:val="002A218C"/>
    <w:rsid w:val="002A2F68"/>
    <w:rsid w:val="002A3E1A"/>
    <w:rsid w:val="002A43BF"/>
    <w:rsid w:val="002A6518"/>
    <w:rsid w:val="002B2C33"/>
    <w:rsid w:val="002B35D4"/>
    <w:rsid w:val="002B3C20"/>
    <w:rsid w:val="002B52C4"/>
    <w:rsid w:val="002B5A84"/>
    <w:rsid w:val="002B752E"/>
    <w:rsid w:val="002C2822"/>
    <w:rsid w:val="002C4FC1"/>
    <w:rsid w:val="002C6417"/>
    <w:rsid w:val="002D0A33"/>
    <w:rsid w:val="002D527C"/>
    <w:rsid w:val="002D769C"/>
    <w:rsid w:val="002E0BE4"/>
    <w:rsid w:val="002E2166"/>
    <w:rsid w:val="002E27F8"/>
    <w:rsid w:val="002E6A6A"/>
    <w:rsid w:val="002F16B9"/>
    <w:rsid w:val="0030380D"/>
    <w:rsid w:val="00307A85"/>
    <w:rsid w:val="003109EA"/>
    <w:rsid w:val="00313068"/>
    <w:rsid w:val="0032105E"/>
    <w:rsid w:val="00321427"/>
    <w:rsid w:val="00322D3C"/>
    <w:rsid w:val="00322E49"/>
    <w:rsid w:val="00323D71"/>
    <w:rsid w:val="00323E71"/>
    <w:rsid w:val="00326159"/>
    <w:rsid w:val="003275F2"/>
    <w:rsid w:val="00330744"/>
    <w:rsid w:val="00331528"/>
    <w:rsid w:val="00336E6E"/>
    <w:rsid w:val="003434D6"/>
    <w:rsid w:val="003434F4"/>
    <w:rsid w:val="0034742F"/>
    <w:rsid w:val="00350078"/>
    <w:rsid w:val="00351421"/>
    <w:rsid w:val="00352758"/>
    <w:rsid w:val="003626D1"/>
    <w:rsid w:val="00364B87"/>
    <w:rsid w:val="003672BB"/>
    <w:rsid w:val="00367BD5"/>
    <w:rsid w:val="00372B1B"/>
    <w:rsid w:val="0038261A"/>
    <w:rsid w:val="0039286E"/>
    <w:rsid w:val="00393873"/>
    <w:rsid w:val="00393B78"/>
    <w:rsid w:val="0039499A"/>
    <w:rsid w:val="003A01E9"/>
    <w:rsid w:val="003A2C08"/>
    <w:rsid w:val="003A52AE"/>
    <w:rsid w:val="003A7F9F"/>
    <w:rsid w:val="003B11B7"/>
    <w:rsid w:val="003B713C"/>
    <w:rsid w:val="003B724A"/>
    <w:rsid w:val="003C0306"/>
    <w:rsid w:val="003C1048"/>
    <w:rsid w:val="003C12D0"/>
    <w:rsid w:val="003C465D"/>
    <w:rsid w:val="003C6483"/>
    <w:rsid w:val="003D495D"/>
    <w:rsid w:val="003E098E"/>
    <w:rsid w:val="003E2FAE"/>
    <w:rsid w:val="003E7243"/>
    <w:rsid w:val="00407CF7"/>
    <w:rsid w:val="00414F28"/>
    <w:rsid w:val="00415ED6"/>
    <w:rsid w:val="00417902"/>
    <w:rsid w:val="00417B04"/>
    <w:rsid w:val="0042144E"/>
    <w:rsid w:val="00421DE6"/>
    <w:rsid w:val="00422265"/>
    <w:rsid w:val="00427D64"/>
    <w:rsid w:val="00432F80"/>
    <w:rsid w:val="004373A7"/>
    <w:rsid w:val="00437D94"/>
    <w:rsid w:val="0044030C"/>
    <w:rsid w:val="00452239"/>
    <w:rsid w:val="00460723"/>
    <w:rsid w:val="00464B0A"/>
    <w:rsid w:val="00467F9A"/>
    <w:rsid w:val="00471380"/>
    <w:rsid w:val="004855DF"/>
    <w:rsid w:val="00487D9F"/>
    <w:rsid w:val="00493182"/>
    <w:rsid w:val="00494166"/>
    <w:rsid w:val="00496BFD"/>
    <w:rsid w:val="004A2A87"/>
    <w:rsid w:val="004A7922"/>
    <w:rsid w:val="004B044E"/>
    <w:rsid w:val="004B1B77"/>
    <w:rsid w:val="004C361D"/>
    <w:rsid w:val="004C7F87"/>
    <w:rsid w:val="004D2017"/>
    <w:rsid w:val="004D65A8"/>
    <w:rsid w:val="004E0A10"/>
    <w:rsid w:val="004E2C56"/>
    <w:rsid w:val="004E6B30"/>
    <w:rsid w:val="004F1077"/>
    <w:rsid w:val="004F1E79"/>
    <w:rsid w:val="004F5F33"/>
    <w:rsid w:val="004F7E17"/>
    <w:rsid w:val="0050103A"/>
    <w:rsid w:val="00511DE3"/>
    <w:rsid w:val="005155C1"/>
    <w:rsid w:val="005320C7"/>
    <w:rsid w:val="00532718"/>
    <w:rsid w:val="0053447E"/>
    <w:rsid w:val="005353AC"/>
    <w:rsid w:val="00550D4A"/>
    <w:rsid w:val="0055122A"/>
    <w:rsid w:val="00555A0B"/>
    <w:rsid w:val="005600B2"/>
    <w:rsid w:val="00560DEC"/>
    <w:rsid w:val="00561247"/>
    <w:rsid w:val="00564300"/>
    <w:rsid w:val="00564EDB"/>
    <w:rsid w:val="005719D6"/>
    <w:rsid w:val="005731D0"/>
    <w:rsid w:val="005733FA"/>
    <w:rsid w:val="00577FB5"/>
    <w:rsid w:val="00580960"/>
    <w:rsid w:val="005828A6"/>
    <w:rsid w:val="00582C9C"/>
    <w:rsid w:val="00583E6B"/>
    <w:rsid w:val="00591FC9"/>
    <w:rsid w:val="0059299D"/>
    <w:rsid w:val="00593A9A"/>
    <w:rsid w:val="00593CD4"/>
    <w:rsid w:val="00595E87"/>
    <w:rsid w:val="005A07B5"/>
    <w:rsid w:val="005A3976"/>
    <w:rsid w:val="005A4CDD"/>
    <w:rsid w:val="005B1388"/>
    <w:rsid w:val="005B23AE"/>
    <w:rsid w:val="005B5ABD"/>
    <w:rsid w:val="005B677D"/>
    <w:rsid w:val="005C1112"/>
    <w:rsid w:val="005C1E56"/>
    <w:rsid w:val="005C2873"/>
    <w:rsid w:val="005C6763"/>
    <w:rsid w:val="005D0D40"/>
    <w:rsid w:val="005E0344"/>
    <w:rsid w:val="005E2107"/>
    <w:rsid w:val="005E440B"/>
    <w:rsid w:val="005E4A25"/>
    <w:rsid w:val="005F0115"/>
    <w:rsid w:val="005F0B90"/>
    <w:rsid w:val="005F1230"/>
    <w:rsid w:val="005F28E1"/>
    <w:rsid w:val="005F619A"/>
    <w:rsid w:val="005F7702"/>
    <w:rsid w:val="00601D61"/>
    <w:rsid w:val="00603D36"/>
    <w:rsid w:val="00605ADB"/>
    <w:rsid w:val="0060603A"/>
    <w:rsid w:val="006074D5"/>
    <w:rsid w:val="0060753D"/>
    <w:rsid w:val="00607E5C"/>
    <w:rsid w:val="00611C9F"/>
    <w:rsid w:val="00613B73"/>
    <w:rsid w:val="006203FA"/>
    <w:rsid w:val="00624A85"/>
    <w:rsid w:val="006255BA"/>
    <w:rsid w:val="006259B9"/>
    <w:rsid w:val="0063181C"/>
    <w:rsid w:val="006322A0"/>
    <w:rsid w:val="006335CD"/>
    <w:rsid w:val="00641785"/>
    <w:rsid w:val="0064226F"/>
    <w:rsid w:val="006442ED"/>
    <w:rsid w:val="00644598"/>
    <w:rsid w:val="00645642"/>
    <w:rsid w:val="00646F7C"/>
    <w:rsid w:val="00647394"/>
    <w:rsid w:val="006509E0"/>
    <w:rsid w:val="00652016"/>
    <w:rsid w:val="00653298"/>
    <w:rsid w:val="00655662"/>
    <w:rsid w:val="00655A04"/>
    <w:rsid w:val="00661B91"/>
    <w:rsid w:val="00665C42"/>
    <w:rsid w:val="00670DF1"/>
    <w:rsid w:val="00671345"/>
    <w:rsid w:val="00672A9B"/>
    <w:rsid w:val="00672F78"/>
    <w:rsid w:val="00675C57"/>
    <w:rsid w:val="00676874"/>
    <w:rsid w:val="00684AF8"/>
    <w:rsid w:val="00696EE0"/>
    <w:rsid w:val="006A19EF"/>
    <w:rsid w:val="006A3E6D"/>
    <w:rsid w:val="006B1462"/>
    <w:rsid w:val="006B152E"/>
    <w:rsid w:val="006B529A"/>
    <w:rsid w:val="006C185A"/>
    <w:rsid w:val="006C6228"/>
    <w:rsid w:val="006C63B0"/>
    <w:rsid w:val="006C66CF"/>
    <w:rsid w:val="006C792E"/>
    <w:rsid w:val="006D116C"/>
    <w:rsid w:val="006D494F"/>
    <w:rsid w:val="006E0A6A"/>
    <w:rsid w:val="006E2706"/>
    <w:rsid w:val="006E3AA5"/>
    <w:rsid w:val="006E514B"/>
    <w:rsid w:val="006E5E76"/>
    <w:rsid w:val="006E6853"/>
    <w:rsid w:val="006E697D"/>
    <w:rsid w:val="006E6A25"/>
    <w:rsid w:val="006E6A61"/>
    <w:rsid w:val="006E7C42"/>
    <w:rsid w:val="006F168A"/>
    <w:rsid w:val="006F218C"/>
    <w:rsid w:val="006F29CB"/>
    <w:rsid w:val="006F6275"/>
    <w:rsid w:val="007024BE"/>
    <w:rsid w:val="007068BA"/>
    <w:rsid w:val="00706FC5"/>
    <w:rsid w:val="007144F9"/>
    <w:rsid w:val="00716AB1"/>
    <w:rsid w:val="0072128F"/>
    <w:rsid w:val="00722193"/>
    <w:rsid w:val="0072254A"/>
    <w:rsid w:val="0072481D"/>
    <w:rsid w:val="007336A1"/>
    <w:rsid w:val="007338D7"/>
    <w:rsid w:val="00734D2B"/>
    <w:rsid w:val="00736AF0"/>
    <w:rsid w:val="00737705"/>
    <w:rsid w:val="007420AC"/>
    <w:rsid w:val="00742617"/>
    <w:rsid w:val="00743806"/>
    <w:rsid w:val="007456D5"/>
    <w:rsid w:val="0074737C"/>
    <w:rsid w:val="00763060"/>
    <w:rsid w:val="00773320"/>
    <w:rsid w:val="007801E8"/>
    <w:rsid w:val="00780629"/>
    <w:rsid w:val="00785427"/>
    <w:rsid w:val="00787D57"/>
    <w:rsid w:val="00790540"/>
    <w:rsid w:val="00790811"/>
    <w:rsid w:val="007931DB"/>
    <w:rsid w:val="0079572B"/>
    <w:rsid w:val="00796238"/>
    <w:rsid w:val="007A070D"/>
    <w:rsid w:val="007A1D39"/>
    <w:rsid w:val="007A4266"/>
    <w:rsid w:val="007A43FF"/>
    <w:rsid w:val="007A6553"/>
    <w:rsid w:val="007B1654"/>
    <w:rsid w:val="007B3918"/>
    <w:rsid w:val="007B46D3"/>
    <w:rsid w:val="007B4DC0"/>
    <w:rsid w:val="007C187C"/>
    <w:rsid w:val="007C3B49"/>
    <w:rsid w:val="007C5A01"/>
    <w:rsid w:val="007C6003"/>
    <w:rsid w:val="007C7D4D"/>
    <w:rsid w:val="007D1726"/>
    <w:rsid w:val="007D199A"/>
    <w:rsid w:val="007D21CF"/>
    <w:rsid w:val="007D6FEC"/>
    <w:rsid w:val="007E1C07"/>
    <w:rsid w:val="007E1DD9"/>
    <w:rsid w:val="007E6916"/>
    <w:rsid w:val="007F0DFC"/>
    <w:rsid w:val="007F24B6"/>
    <w:rsid w:val="007F3212"/>
    <w:rsid w:val="007F526C"/>
    <w:rsid w:val="007F5807"/>
    <w:rsid w:val="0080326C"/>
    <w:rsid w:val="00803D94"/>
    <w:rsid w:val="00804783"/>
    <w:rsid w:val="00805743"/>
    <w:rsid w:val="00811B44"/>
    <w:rsid w:val="00816C9D"/>
    <w:rsid w:val="00823413"/>
    <w:rsid w:val="00825B14"/>
    <w:rsid w:val="008265EB"/>
    <w:rsid w:val="00836578"/>
    <w:rsid w:val="008418D1"/>
    <w:rsid w:val="00845390"/>
    <w:rsid w:val="00853668"/>
    <w:rsid w:val="008606F0"/>
    <w:rsid w:val="00861138"/>
    <w:rsid w:val="00865489"/>
    <w:rsid w:val="0086553D"/>
    <w:rsid w:val="008657FC"/>
    <w:rsid w:val="00874FEB"/>
    <w:rsid w:val="00882AA4"/>
    <w:rsid w:val="00883E22"/>
    <w:rsid w:val="00887EC6"/>
    <w:rsid w:val="0089084C"/>
    <w:rsid w:val="00893409"/>
    <w:rsid w:val="008A0711"/>
    <w:rsid w:val="008A2379"/>
    <w:rsid w:val="008A578E"/>
    <w:rsid w:val="008A60C5"/>
    <w:rsid w:val="008B259C"/>
    <w:rsid w:val="008B4942"/>
    <w:rsid w:val="008B5886"/>
    <w:rsid w:val="008B7BCC"/>
    <w:rsid w:val="008B7D50"/>
    <w:rsid w:val="008C1560"/>
    <w:rsid w:val="008C50C3"/>
    <w:rsid w:val="008C7094"/>
    <w:rsid w:val="008D035F"/>
    <w:rsid w:val="008D0EC2"/>
    <w:rsid w:val="008D2B97"/>
    <w:rsid w:val="008D6C81"/>
    <w:rsid w:val="008E0047"/>
    <w:rsid w:val="008E1C99"/>
    <w:rsid w:val="008E246D"/>
    <w:rsid w:val="008E2489"/>
    <w:rsid w:val="008E422B"/>
    <w:rsid w:val="008E6CF0"/>
    <w:rsid w:val="008F03D9"/>
    <w:rsid w:val="008F1439"/>
    <w:rsid w:val="008F7051"/>
    <w:rsid w:val="00901137"/>
    <w:rsid w:val="009047EC"/>
    <w:rsid w:val="0090581D"/>
    <w:rsid w:val="00914701"/>
    <w:rsid w:val="00916050"/>
    <w:rsid w:val="00916B8D"/>
    <w:rsid w:val="00920BF2"/>
    <w:rsid w:val="0092112C"/>
    <w:rsid w:val="009250D5"/>
    <w:rsid w:val="00926D0F"/>
    <w:rsid w:val="009349A9"/>
    <w:rsid w:val="009354B6"/>
    <w:rsid w:val="00944F46"/>
    <w:rsid w:val="009527D1"/>
    <w:rsid w:val="0095489B"/>
    <w:rsid w:val="00955DBD"/>
    <w:rsid w:val="00960F2A"/>
    <w:rsid w:val="00963BB4"/>
    <w:rsid w:val="00966FB9"/>
    <w:rsid w:val="0096737D"/>
    <w:rsid w:val="009729A0"/>
    <w:rsid w:val="00973B17"/>
    <w:rsid w:val="009809E2"/>
    <w:rsid w:val="00980A88"/>
    <w:rsid w:val="00980F9C"/>
    <w:rsid w:val="00982F2E"/>
    <w:rsid w:val="00984098"/>
    <w:rsid w:val="00991E79"/>
    <w:rsid w:val="00997BFB"/>
    <w:rsid w:val="009A58EE"/>
    <w:rsid w:val="009B0990"/>
    <w:rsid w:val="009B0ED0"/>
    <w:rsid w:val="009B13CD"/>
    <w:rsid w:val="009B2F9E"/>
    <w:rsid w:val="009B4BC7"/>
    <w:rsid w:val="009C15A1"/>
    <w:rsid w:val="009C15F3"/>
    <w:rsid w:val="009C7224"/>
    <w:rsid w:val="009D2770"/>
    <w:rsid w:val="009D7C85"/>
    <w:rsid w:val="009D7F3C"/>
    <w:rsid w:val="009E07C2"/>
    <w:rsid w:val="009E7F82"/>
    <w:rsid w:val="009F72F9"/>
    <w:rsid w:val="00A00AF0"/>
    <w:rsid w:val="00A031FD"/>
    <w:rsid w:val="00A05766"/>
    <w:rsid w:val="00A14534"/>
    <w:rsid w:val="00A14B5A"/>
    <w:rsid w:val="00A230B1"/>
    <w:rsid w:val="00A240D7"/>
    <w:rsid w:val="00A3068B"/>
    <w:rsid w:val="00A3567F"/>
    <w:rsid w:val="00A37698"/>
    <w:rsid w:val="00A420B7"/>
    <w:rsid w:val="00A42BBE"/>
    <w:rsid w:val="00A5497D"/>
    <w:rsid w:val="00A55975"/>
    <w:rsid w:val="00A72E84"/>
    <w:rsid w:val="00A73F2E"/>
    <w:rsid w:val="00A7408B"/>
    <w:rsid w:val="00A75D66"/>
    <w:rsid w:val="00A81D82"/>
    <w:rsid w:val="00A84A66"/>
    <w:rsid w:val="00A878E1"/>
    <w:rsid w:val="00A93E33"/>
    <w:rsid w:val="00AA5241"/>
    <w:rsid w:val="00AA75AE"/>
    <w:rsid w:val="00AB31C6"/>
    <w:rsid w:val="00AC1939"/>
    <w:rsid w:val="00AC361E"/>
    <w:rsid w:val="00AC3665"/>
    <w:rsid w:val="00AC6435"/>
    <w:rsid w:val="00AC6D11"/>
    <w:rsid w:val="00AC79D3"/>
    <w:rsid w:val="00AD150C"/>
    <w:rsid w:val="00AD167C"/>
    <w:rsid w:val="00AD17C7"/>
    <w:rsid w:val="00AD4027"/>
    <w:rsid w:val="00AD4041"/>
    <w:rsid w:val="00AD6DD0"/>
    <w:rsid w:val="00AE302B"/>
    <w:rsid w:val="00AE3317"/>
    <w:rsid w:val="00AE578D"/>
    <w:rsid w:val="00AF1642"/>
    <w:rsid w:val="00AF39D5"/>
    <w:rsid w:val="00AF607A"/>
    <w:rsid w:val="00AF741D"/>
    <w:rsid w:val="00B003D3"/>
    <w:rsid w:val="00B006CE"/>
    <w:rsid w:val="00B0162F"/>
    <w:rsid w:val="00B017D0"/>
    <w:rsid w:val="00B05C47"/>
    <w:rsid w:val="00B07A98"/>
    <w:rsid w:val="00B13B2A"/>
    <w:rsid w:val="00B13D48"/>
    <w:rsid w:val="00B147C0"/>
    <w:rsid w:val="00B148A1"/>
    <w:rsid w:val="00B17303"/>
    <w:rsid w:val="00B230A3"/>
    <w:rsid w:val="00B259DF"/>
    <w:rsid w:val="00B407C5"/>
    <w:rsid w:val="00B5017F"/>
    <w:rsid w:val="00B532C9"/>
    <w:rsid w:val="00B5485B"/>
    <w:rsid w:val="00B5519A"/>
    <w:rsid w:val="00B6326F"/>
    <w:rsid w:val="00B66AE6"/>
    <w:rsid w:val="00B7644C"/>
    <w:rsid w:val="00B7685F"/>
    <w:rsid w:val="00B77913"/>
    <w:rsid w:val="00B83DA4"/>
    <w:rsid w:val="00B84456"/>
    <w:rsid w:val="00B876CF"/>
    <w:rsid w:val="00B935D5"/>
    <w:rsid w:val="00B958AC"/>
    <w:rsid w:val="00B95B36"/>
    <w:rsid w:val="00BA38DC"/>
    <w:rsid w:val="00BA3EB3"/>
    <w:rsid w:val="00BA404E"/>
    <w:rsid w:val="00BA4E58"/>
    <w:rsid w:val="00BA5485"/>
    <w:rsid w:val="00BA7074"/>
    <w:rsid w:val="00BB2365"/>
    <w:rsid w:val="00BB3188"/>
    <w:rsid w:val="00BB3712"/>
    <w:rsid w:val="00BB48D0"/>
    <w:rsid w:val="00BB7829"/>
    <w:rsid w:val="00BD1457"/>
    <w:rsid w:val="00BD4812"/>
    <w:rsid w:val="00BD4826"/>
    <w:rsid w:val="00BD55DE"/>
    <w:rsid w:val="00BE2A07"/>
    <w:rsid w:val="00BE2AD9"/>
    <w:rsid w:val="00BE3F22"/>
    <w:rsid w:val="00BE5D7A"/>
    <w:rsid w:val="00BF27FE"/>
    <w:rsid w:val="00C041CA"/>
    <w:rsid w:val="00C043B3"/>
    <w:rsid w:val="00C079AB"/>
    <w:rsid w:val="00C14787"/>
    <w:rsid w:val="00C20562"/>
    <w:rsid w:val="00C23A96"/>
    <w:rsid w:val="00C249C6"/>
    <w:rsid w:val="00C3078D"/>
    <w:rsid w:val="00C32CC1"/>
    <w:rsid w:val="00C33DB8"/>
    <w:rsid w:val="00C35FFE"/>
    <w:rsid w:val="00C4180D"/>
    <w:rsid w:val="00C42B34"/>
    <w:rsid w:val="00C44B87"/>
    <w:rsid w:val="00C450A1"/>
    <w:rsid w:val="00C4705F"/>
    <w:rsid w:val="00C47C53"/>
    <w:rsid w:val="00C51E71"/>
    <w:rsid w:val="00C53094"/>
    <w:rsid w:val="00C53FF3"/>
    <w:rsid w:val="00C54E26"/>
    <w:rsid w:val="00C55C46"/>
    <w:rsid w:val="00C55C8D"/>
    <w:rsid w:val="00C611E9"/>
    <w:rsid w:val="00C629D3"/>
    <w:rsid w:val="00C63F03"/>
    <w:rsid w:val="00C6403D"/>
    <w:rsid w:val="00C6483C"/>
    <w:rsid w:val="00C67F97"/>
    <w:rsid w:val="00C70653"/>
    <w:rsid w:val="00C70CFF"/>
    <w:rsid w:val="00C718FE"/>
    <w:rsid w:val="00C7316C"/>
    <w:rsid w:val="00C74BA6"/>
    <w:rsid w:val="00C76F95"/>
    <w:rsid w:val="00C82EC8"/>
    <w:rsid w:val="00C8773D"/>
    <w:rsid w:val="00C87A2A"/>
    <w:rsid w:val="00C87ABB"/>
    <w:rsid w:val="00C92387"/>
    <w:rsid w:val="00C93CDD"/>
    <w:rsid w:val="00C94A3B"/>
    <w:rsid w:val="00C953DF"/>
    <w:rsid w:val="00CC0B05"/>
    <w:rsid w:val="00CC42F5"/>
    <w:rsid w:val="00CC5737"/>
    <w:rsid w:val="00CC608E"/>
    <w:rsid w:val="00CC7946"/>
    <w:rsid w:val="00CD444C"/>
    <w:rsid w:val="00CD69B5"/>
    <w:rsid w:val="00CE22FF"/>
    <w:rsid w:val="00CE2D64"/>
    <w:rsid w:val="00CE503F"/>
    <w:rsid w:val="00CE6198"/>
    <w:rsid w:val="00CE7A10"/>
    <w:rsid w:val="00CF4DDB"/>
    <w:rsid w:val="00CF5847"/>
    <w:rsid w:val="00CF6230"/>
    <w:rsid w:val="00D04561"/>
    <w:rsid w:val="00D052BF"/>
    <w:rsid w:val="00D06D60"/>
    <w:rsid w:val="00D13147"/>
    <w:rsid w:val="00D1316A"/>
    <w:rsid w:val="00D16E0F"/>
    <w:rsid w:val="00D17C60"/>
    <w:rsid w:val="00D17F73"/>
    <w:rsid w:val="00D2313A"/>
    <w:rsid w:val="00D2471B"/>
    <w:rsid w:val="00D266AB"/>
    <w:rsid w:val="00D27466"/>
    <w:rsid w:val="00D50A2B"/>
    <w:rsid w:val="00D5715A"/>
    <w:rsid w:val="00D6121F"/>
    <w:rsid w:val="00D6416C"/>
    <w:rsid w:val="00D64C66"/>
    <w:rsid w:val="00D70F62"/>
    <w:rsid w:val="00D71687"/>
    <w:rsid w:val="00D74035"/>
    <w:rsid w:val="00D74813"/>
    <w:rsid w:val="00D772A7"/>
    <w:rsid w:val="00D77527"/>
    <w:rsid w:val="00D950BD"/>
    <w:rsid w:val="00D961A4"/>
    <w:rsid w:val="00D96344"/>
    <w:rsid w:val="00D96471"/>
    <w:rsid w:val="00DA30BC"/>
    <w:rsid w:val="00DB5957"/>
    <w:rsid w:val="00DB6050"/>
    <w:rsid w:val="00DB6C42"/>
    <w:rsid w:val="00DC2C34"/>
    <w:rsid w:val="00DD1225"/>
    <w:rsid w:val="00DD4792"/>
    <w:rsid w:val="00DE0687"/>
    <w:rsid w:val="00DF27DA"/>
    <w:rsid w:val="00DF5CD1"/>
    <w:rsid w:val="00DF7821"/>
    <w:rsid w:val="00E00F95"/>
    <w:rsid w:val="00E2034E"/>
    <w:rsid w:val="00E25917"/>
    <w:rsid w:val="00E2647D"/>
    <w:rsid w:val="00E27B77"/>
    <w:rsid w:val="00E33674"/>
    <w:rsid w:val="00E37F23"/>
    <w:rsid w:val="00E40C2D"/>
    <w:rsid w:val="00E42FDF"/>
    <w:rsid w:val="00E444B8"/>
    <w:rsid w:val="00E4658F"/>
    <w:rsid w:val="00E5329B"/>
    <w:rsid w:val="00E534DD"/>
    <w:rsid w:val="00E53CE6"/>
    <w:rsid w:val="00E54A67"/>
    <w:rsid w:val="00E62123"/>
    <w:rsid w:val="00E63D7A"/>
    <w:rsid w:val="00E63EB4"/>
    <w:rsid w:val="00E71329"/>
    <w:rsid w:val="00E72267"/>
    <w:rsid w:val="00E76739"/>
    <w:rsid w:val="00E7707F"/>
    <w:rsid w:val="00E80F2E"/>
    <w:rsid w:val="00E8363B"/>
    <w:rsid w:val="00E92383"/>
    <w:rsid w:val="00EA1352"/>
    <w:rsid w:val="00EA1B3A"/>
    <w:rsid w:val="00EA2109"/>
    <w:rsid w:val="00EA2CEF"/>
    <w:rsid w:val="00EB2579"/>
    <w:rsid w:val="00EB5255"/>
    <w:rsid w:val="00EC15DD"/>
    <w:rsid w:val="00EC2F24"/>
    <w:rsid w:val="00EC38A2"/>
    <w:rsid w:val="00ED2438"/>
    <w:rsid w:val="00ED295B"/>
    <w:rsid w:val="00ED2991"/>
    <w:rsid w:val="00ED2FC3"/>
    <w:rsid w:val="00ED41E8"/>
    <w:rsid w:val="00ED4D4E"/>
    <w:rsid w:val="00EE305F"/>
    <w:rsid w:val="00EE4E54"/>
    <w:rsid w:val="00EE512E"/>
    <w:rsid w:val="00EE7104"/>
    <w:rsid w:val="00EF094D"/>
    <w:rsid w:val="00EF64B4"/>
    <w:rsid w:val="00EF76F3"/>
    <w:rsid w:val="00F021F0"/>
    <w:rsid w:val="00F06353"/>
    <w:rsid w:val="00F10641"/>
    <w:rsid w:val="00F164D0"/>
    <w:rsid w:val="00F23782"/>
    <w:rsid w:val="00F244F0"/>
    <w:rsid w:val="00F258B1"/>
    <w:rsid w:val="00F2746F"/>
    <w:rsid w:val="00F37044"/>
    <w:rsid w:val="00F40BEE"/>
    <w:rsid w:val="00F436BB"/>
    <w:rsid w:val="00F44E26"/>
    <w:rsid w:val="00F525C7"/>
    <w:rsid w:val="00F545BF"/>
    <w:rsid w:val="00F60A71"/>
    <w:rsid w:val="00F610EC"/>
    <w:rsid w:val="00F611A5"/>
    <w:rsid w:val="00F647B0"/>
    <w:rsid w:val="00F65877"/>
    <w:rsid w:val="00F67E0C"/>
    <w:rsid w:val="00F709E1"/>
    <w:rsid w:val="00F71B56"/>
    <w:rsid w:val="00F77E8F"/>
    <w:rsid w:val="00F83287"/>
    <w:rsid w:val="00F873B3"/>
    <w:rsid w:val="00F95D9E"/>
    <w:rsid w:val="00F96024"/>
    <w:rsid w:val="00FA0FC5"/>
    <w:rsid w:val="00FA42B9"/>
    <w:rsid w:val="00FA6F8D"/>
    <w:rsid w:val="00FA755A"/>
    <w:rsid w:val="00FB2B0F"/>
    <w:rsid w:val="00FB3402"/>
    <w:rsid w:val="00FB3AB1"/>
    <w:rsid w:val="00FB4F6B"/>
    <w:rsid w:val="00FB5FE1"/>
    <w:rsid w:val="00FB602B"/>
    <w:rsid w:val="00FC3EBA"/>
    <w:rsid w:val="00FC7D30"/>
    <w:rsid w:val="00FD1FDC"/>
    <w:rsid w:val="00FD452F"/>
    <w:rsid w:val="00FE1D79"/>
    <w:rsid w:val="00FE7781"/>
    <w:rsid w:val="00FF0874"/>
    <w:rsid w:val="00FF3BC8"/>
    <w:rsid w:val="00FF3CCB"/>
    <w:rsid w:val="00FF5668"/>
    <w:rsid w:val="03056D95"/>
    <w:rsid w:val="063C630B"/>
    <w:rsid w:val="0B027FE5"/>
    <w:rsid w:val="179A4FF6"/>
    <w:rsid w:val="1B121959"/>
    <w:rsid w:val="1BAB879B"/>
    <w:rsid w:val="1D3223BE"/>
    <w:rsid w:val="1F9FCB15"/>
    <w:rsid w:val="21C89541"/>
    <w:rsid w:val="224DD12E"/>
    <w:rsid w:val="23D0C590"/>
    <w:rsid w:val="32AE27AD"/>
    <w:rsid w:val="35C58624"/>
    <w:rsid w:val="37615685"/>
    <w:rsid w:val="3994F513"/>
    <w:rsid w:val="3C4CC08C"/>
    <w:rsid w:val="45B37140"/>
    <w:rsid w:val="4CA5B0BF"/>
    <w:rsid w:val="502247E7"/>
    <w:rsid w:val="5521879C"/>
    <w:rsid w:val="5F416F9C"/>
    <w:rsid w:val="63860CC6"/>
    <w:rsid w:val="650A1238"/>
    <w:rsid w:val="78D7E06D"/>
    <w:rsid w:val="791B1399"/>
    <w:rsid w:val="79F2D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E0BE7"/>
  <w15:docId w15:val="{9633A011-28BA-4134-A703-847194F7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D7"/>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7C3B49"/>
    <w:pPr>
      <w:keepNext/>
      <w:spacing w:before="240" w:after="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7C"/>
    <w:pPr>
      <w:tabs>
        <w:tab w:val="center" w:pos="4513"/>
        <w:tab w:val="right" w:pos="9026"/>
      </w:tabs>
    </w:pPr>
    <w:rPr>
      <w:sz w:val="18"/>
    </w:rPr>
  </w:style>
  <w:style w:type="character" w:customStyle="1" w:styleId="HeaderChar">
    <w:name w:val="Header Char"/>
    <w:link w:val="Header"/>
    <w:uiPriority w:val="99"/>
    <w:rsid w:val="007C187C"/>
    <w:rPr>
      <w:rFonts w:ascii="Arial" w:hAnsi="Arial"/>
      <w:sz w:val="18"/>
      <w:szCs w:val="22"/>
      <w:lang w:eastAsia="en-US" w:bidi="he-IL"/>
    </w:rPr>
  </w:style>
  <w:style w:type="paragraph" w:styleId="Footer">
    <w:name w:val="footer"/>
    <w:basedOn w:val="Normal"/>
    <w:link w:val="FooterChar"/>
    <w:uiPriority w:val="99"/>
    <w:unhideWhenUsed/>
    <w:rsid w:val="007D199A"/>
    <w:pPr>
      <w:tabs>
        <w:tab w:val="center" w:pos="4513"/>
        <w:tab w:val="right" w:pos="9026"/>
      </w:tabs>
    </w:pPr>
  </w:style>
  <w:style w:type="character" w:customStyle="1" w:styleId="FooterChar">
    <w:name w:val="Footer Char"/>
    <w:link w:val="Footer"/>
    <w:uiPriority w:val="99"/>
    <w:rsid w:val="007D199A"/>
    <w:rPr>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7C3B49"/>
    <w:rPr>
      <w:rFonts w:ascii="Arial" w:hAnsi="Arial"/>
      <w:b/>
      <w:color w:val="7F4098"/>
      <w:sz w:val="54"/>
      <w:szCs w:val="22"/>
      <w:lang w:eastAsia="en-US" w:bidi="he-IL"/>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
      </w:numPr>
      <w:ind w:left="397" w:hanging="397"/>
    </w:pPr>
    <w:rPr>
      <w:noProof/>
    </w:rPr>
  </w:style>
  <w:style w:type="paragraph" w:customStyle="1" w:styleId="Bulletlist2">
    <w:name w:val="Bullet list 2"/>
    <w:basedOn w:val="Normal"/>
    <w:qFormat/>
    <w:rsid w:val="00805743"/>
    <w:pPr>
      <w:numPr>
        <w:numId w:val="2"/>
      </w:numPr>
      <w:ind w:left="794" w:hanging="397"/>
    </w:pPr>
    <w:rPr>
      <w:noProof/>
    </w:rPr>
  </w:style>
  <w:style w:type="paragraph" w:customStyle="1" w:styleId="Bulletlist3">
    <w:name w:val="Bullet list 3"/>
    <w:basedOn w:val="Normal"/>
    <w:qFormat/>
    <w:rsid w:val="00805743"/>
    <w:pPr>
      <w:numPr>
        <w:numId w:val="3"/>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OC1">
    <w:name w:val="toc 1"/>
    <w:basedOn w:val="Normal"/>
    <w:next w:val="Normal"/>
    <w:autoRedefine/>
    <w:uiPriority w:val="39"/>
    <w:unhideWhenUsed/>
    <w:rsid w:val="003434F4"/>
    <w:pPr>
      <w:tabs>
        <w:tab w:val="right" w:leader="dot" w:pos="9469"/>
      </w:tabs>
      <w:spacing w:before="240" w:after="0"/>
    </w:pPr>
    <w:rPr>
      <w:b/>
    </w:rPr>
  </w:style>
  <w:style w:type="paragraph" w:styleId="TOC2">
    <w:name w:val="toc 2"/>
    <w:basedOn w:val="Normal"/>
    <w:next w:val="Normal"/>
    <w:autoRedefine/>
    <w:uiPriority w:val="39"/>
    <w:unhideWhenUsed/>
    <w:rsid w:val="008E1C99"/>
    <w:pPr>
      <w:tabs>
        <w:tab w:val="right" w:leader="dot" w:pos="9469"/>
      </w:tabs>
      <w:spacing w:before="120" w:after="0"/>
      <w:ind w:left="397"/>
    </w:pPr>
    <w:rPr>
      <w:noProof/>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unhideWhenUsed/>
    <w:rsid w:val="004C361D"/>
    <w:pPr>
      <w:tabs>
        <w:tab w:val="right" w:leader="dot" w:pos="9469"/>
      </w:tabs>
      <w:spacing w:before="120" w:after="0"/>
      <w:ind w:left="720"/>
    </w:pPr>
  </w:style>
  <w:style w:type="paragraph" w:customStyle="1" w:styleId="ContentsHeading">
    <w:name w:val="Contents Heading"/>
    <w:basedOn w:val="Normal"/>
    <w:qFormat/>
    <w:rsid w:val="00647394"/>
    <w:pPr>
      <w:spacing w:before="240" w:after="480"/>
    </w:pPr>
    <w:rPr>
      <w:b/>
      <w:color w:val="7F4098"/>
      <w:sz w:val="54"/>
      <w:szCs w:val="50"/>
    </w:rPr>
  </w:style>
  <w:style w:type="paragraph" w:customStyle="1" w:styleId="CoverDate">
    <w:name w:val="Cover Date"/>
    <w:basedOn w:val="Normal"/>
    <w:qFormat/>
    <w:rsid w:val="009B13CD"/>
    <w:pPr>
      <w:spacing w:before="240"/>
    </w:pPr>
    <w:rPr>
      <w:sz w:val="32"/>
      <w:szCs w:val="28"/>
    </w:rPr>
  </w:style>
  <w:style w:type="paragraph" w:customStyle="1" w:styleId="CoverTitle">
    <w:name w:val="Cover Title"/>
    <w:basedOn w:val="Normal"/>
    <w:qFormat/>
    <w:rsid w:val="009B13CD"/>
    <w:pPr>
      <w:spacing w:line="240" w:lineRule="auto"/>
    </w:pPr>
    <w:rPr>
      <w:b/>
      <w:sz w:val="80"/>
      <w:szCs w:val="88"/>
    </w:rPr>
  </w:style>
  <w:style w:type="paragraph" w:customStyle="1" w:styleId="CoverAuthor">
    <w:name w:val="Cover Author"/>
    <w:basedOn w:val="Normal"/>
    <w:qFormat/>
    <w:rsid w:val="009B13CD"/>
    <w:rPr>
      <w:sz w:val="40"/>
      <w:szCs w:val="28"/>
    </w:rPr>
  </w:style>
  <w:style w:type="paragraph" w:customStyle="1" w:styleId="InnerCoverTitle">
    <w:name w:val="Inner Cover Title"/>
    <w:basedOn w:val="Normal"/>
    <w:qFormat/>
    <w:rsid w:val="009B13CD"/>
    <w:rPr>
      <w:b/>
      <w:sz w:val="60"/>
    </w:rPr>
  </w:style>
  <w:style w:type="paragraph" w:customStyle="1" w:styleId="AppendixHeading">
    <w:name w:val="Appendix Heading"/>
    <w:basedOn w:val="Normal"/>
    <w:qFormat/>
    <w:rsid w:val="00647394"/>
    <w:pPr>
      <w:keepNext/>
      <w:spacing w:before="240" w:after="480"/>
    </w:pPr>
    <w:rPr>
      <w:b/>
      <w:color w:val="7F4098"/>
      <w:sz w:val="54"/>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link w:val="FootnoteText"/>
    <w:uiPriority w:val="99"/>
    <w:semiHidden/>
    <w:rsid w:val="00C32CC1"/>
    <w:rPr>
      <w:lang w:eastAsia="en-US" w:bidi="he-IL"/>
    </w:rPr>
  </w:style>
  <w:style w:type="character" w:styleId="FootnoteReference">
    <w:name w:val="footnote reference"/>
    <w:uiPriority w:val="99"/>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character" w:customStyle="1" w:styleId="FooterChar2">
    <w:name w:val="Footer Char2"/>
    <w:uiPriority w:val="99"/>
    <w:semiHidden/>
    <w:locked/>
    <w:rsid w:val="00B230A3"/>
    <w:rPr>
      <w:rFonts w:cs="Times New Roman"/>
    </w:rPr>
  </w:style>
  <w:style w:type="paragraph" w:customStyle="1" w:styleId="Default">
    <w:name w:val="Default"/>
    <w:rsid w:val="00B230A3"/>
    <w:pPr>
      <w:autoSpaceDE w:val="0"/>
      <w:autoSpaceDN w:val="0"/>
      <w:adjustRightInd w:val="0"/>
    </w:pPr>
    <w:rPr>
      <w:rFonts w:ascii="Arial" w:eastAsia="Times New Roman" w:hAnsi="Arial"/>
      <w:color w:val="000000"/>
      <w:sz w:val="24"/>
      <w:szCs w:val="24"/>
    </w:rPr>
  </w:style>
  <w:style w:type="paragraph" w:styleId="ListParagraph">
    <w:name w:val="List Paragraph"/>
    <w:basedOn w:val="Normal"/>
    <w:qFormat/>
    <w:rsid w:val="00B230A3"/>
    <w:pPr>
      <w:spacing w:after="0" w:line="240" w:lineRule="auto"/>
      <w:ind w:left="720"/>
    </w:pPr>
    <w:rPr>
      <w:rFonts w:ascii="Cambria" w:eastAsia="Times New Roman" w:hAnsi="Cambria" w:cs="Times New Roman"/>
      <w:szCs w:val="24"/>
      <w:lang w:val="en-US" w:bidi="ar-SA"/>
    </w:rPr>
  </w:style>
  <w:style w:type="character" w:styleId="CommentReference">
    <w:name w:val="annotation reference"/>
    <w:basedOn w:val="DefaultParagraphFont"/>
    <w:uiPriority w:val="99"/>
    <w:semiHidden/>
    <w:unhideWhenUsed/>
    <w:rsid w:val="00EF094D"/>
    <w:rPr>
      <w:sz w:val="16"/>
      <w:szCs w:val="16"/>
    </w:rPr>
  </w:style>
  <w:style w:type="paragraph" w:styleId="CommentText">
    <w:name w:val="annotation text"/>
    <w:basedOn w:val="Normal"/>
    <w:link w:val="CommentTextChar"/>
    <w:uiPriority w:val="99"/>
    <w:unhideWhenUsed/>
    <w:rsid w:val="00EF094D"/>
    <w:pPr>
      <w:spacing w:line="240" w:lineRule="auto"/>
    </w:pPr>
    <w:rPr>
      <w:sz w:val="20"/>
      <w:szCs w:val="20"/>
    </w:rPr>
  </w:style>
  <w:style w:type="character" w:customStyle="1" w:styleId="CommentTextChar">
    <w:name w:val="Comment Text Char"/>
    <w:basedOn w:val="DefaultParagraphFont"/>
    <w:link w:val="CommentText"/>
    <w:uiPriority w:val="99"/>
    <w:rsid w:val="00EF094D"/>
    <w:rPr>
      <w:rFonts w:ascii="Arial" w:hAnsi="Arial"/>
      <w:lang w:eastAsia="en-US" w:bidi="he-IL"/>
    </w:rPr>
  </w:style>
  <w:style w:type="paragraph" w:styleId="CommentSubject">
    <w:name w:val="annotation subject"/>
    <w:basedOn w:val="CommentText"/>
    <w:next w:val="CommentText"/>
    <w:link w:val="CommentSubjectChar"/>
    <w:uiPriority w:val="99"/>
    <w:semiHidden/>
    <w:unhideWhenUsed/>
    <w:rsid w:val="00EF094D"/>
    <w:rPr>
      <w:b/>
      <w:bCs/>
    </w:rPr>
  </w:style>
  <w:style w:type="character" w:customStyle="1" w:styleId="CommentSubjectChar">
    <w:name w:val="Comment Subject Char"/>
    <w:basedOn w:val="CommentTextChar"/>
    <w:link w:val="CommentSubject"/>
    <w:uiPriority w:val="99"/>
    <w:semiHidden/>
    <w:rsid w:val="00EF094D"/>
    <w:rPr>
      <w:rFonts w:ascii="Arial" w:hAnsi="Arial"/>
      <w:b/>
      <w:bCs/>
      <w:lang w:eastAsia="en-US" w:bidi="he-IL"/>
    </w:rPr>
  </w:style>
  <w:style w:type="paragraph" w:styleId="NormalWeb">
    <w:name w:val="Normal (Web)"/>
    <w:basedOn w:val="Normal"/>
    <w:uiPriority w:val="99"/>
    <w:unhideWhenUsed/>
    <w:rsid w:val="007B46D3"/>
    <w:rPr>
      <w:rFonts w:ascii="Times New Roman" w:hAnsi="Times New Roman" w:cs="Times New Roman"/>
      <w:szCs w:val="24"/>
    </w:rPr>
  </w:style>
  <w:style w:type="character" w:styleId="FollowedHyperlink">
    <w:name w:val="FollowedHyperlink"/>
    <w:basedOn w:val="DefaultParagraphFont"/>
    <w:uiPriority w:val="99"/>
    <w:semiHidden/>
    <w:unhideWhenUsed/>
    <w:rsid w:val="00F83287"/>
    <w:rPr>
      <w:color w:val="954F72" w:themeColor="followedHyperlink"/>
      <w:u w:val="single"/>
    </w:rPr>
  </w:style>
  <w:style w:type="paragraph" w:styleId="NoSpacing">
    <w:name w:val="No Spacing"/>
    <w:qFormat/>
    <w:rsid w:val="00DD4792"/>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DD4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2142">
      <w:bodyDiv w:val="1"/>
      <w:marLeft w:val="0"/>
      <w:marRight w:val="0"/>
      <w:marTop w:val="0"/>
      <w:marBottom w:val="0"/>
      <w:divBdr>
        <w:top w:val="none" w:sz="0" w:space="0" w:color="auto"/>
        <w:left w:val="none" w:sz="0" w:space="0" w:color="auto"/>
        <w:bottom w:val="none" w:sz="0" w:space="0" w:color="auto"/>
        <w:right w:val="none" w:sz="0" w:space="0" w:color="auto"/>
      </w:divBdr>
    </w:div>
    <w:div w:id="366682689">
      <w:bodyDiv w:val="1"/>
      <w:marLeft w:val="0"/>
      <w:marRight w:val="0"/>
      <w:marTop w:val="0"/>
      <w:marBottom w:val="0"/>
      <w:divBdr>
        <w:top w:val="none" w:sz="0" w:space="0" w:color="auto"/>
        <w:left w:val="none" w:sz="0" w:space="0" w:color="auto"/>
        <w:bottom w:val="none" w:sz="0" w:space="0" w:color="auto"/>
        <w:right w:val="none" w:sz="0" w:space="0" w:color="auto"/>
      </w:divBdr>
    </w:div>
    <w:div w:id="458955697">
      <w:bodyDiv w:val="1"/>
      <w:marLeft w:val="0"/>
      <w:marRight w:val="0"/>
      <w:marTop w:val="0"/>
      <w:marBottom w:val="0"/>
      <w:divBdr>
        <w:top w:val="none" w:sz="0" w:space="0" w:color="auto"/>
        <w:left w:val="none" w:sz="0" w:space="0" w:color="auto"/>
        <w:bottom w:val="none" w:sz="0" w:space="0" w:color="auto"/>
        <w:right w:val="none" w:sz="0" w:space="0" w:color="auto"/>
      </w:divBdr>
    </w:div>
    <w:div w:id="730810970">
      <w:bodyDiv w:val="1"/>
      <w:marLeft w:val="0"/>
      <w:marRight w:val="0"/>
      <w:marTop w:val="0"/>
      <w:marBottom w:val="0"/>
      <w:divBdr>
        <w:top w:val="none" w:sz="0" w:space="0" w:color="auto"/>
        <w:left w:val="none" w:sz="0" w:space="0" w:color="auto"/>
        <w:bottom w:val="none" w:sz="0" w:space="0" w:color="auto"/>
        <w:right w:val="none" w:sz="0" w:space="0" w:color="auto"/>
      </w:divBdr>
    </w:div>
    <w:div w:id="1250775666">
      <w:bodyDiv w:val="1"/>
      <w:marLeft w:val="0"/>
      <w:marRight w:val="0"/>
      <w:marTop w:val="0"/>
      <w:marBottom w:val="0"/>
      <w:divBdr>
        <w:top w:val="none" w:sz="0" w:space="0" w:color="auto"/>
        <w:left w:val="none" w:sz="0" w:space="0" w:color="auto"/>
        <w:bottom w:val="none" w:sz="0" w:space="0" w:color="auto"/>
        <w:right w:val="none" w:sz="0" w:space="0" w:color="auto"/>
      </w:divBdr>
    </w:div>
    <w:div w:id="1418593112">
      <w:bodyDiv w:val="1"/>
      <w:marLeft w:val="0"/>
      <w:marRight w:val="0"/>
      <w:marTop w:val="0"/>
      <w:marBottom w:val="0"/>
      <w:divBdr>
        <w:top w:val="none" w:sz="0" w:space="0" w:color="auto"/>
        <w:left w:val="none" w:sz="0" w:space="0" w:color="auto"/>
        <w:bottom w:val="none" w:sz="0" w:space="0" w:color="auto"/>
        <w:right w:val="none" w:sz="0" w:space="0" w:color="auto"/>
      </w:divBdr>
    </w:div>
    <w:div w:id="1457410588">
      <w:bodyDiv w:val="1"/>
      <w:marLeft w:val="0"/>
      <w:marRight w:val="0"/>
      <w:marTop w:val="0"/>
      <w:marBottom w:val="0"/>
      <w:divBdr>
        <w:top w:val="none" w:sz="0" w:space="0" w:color="auto"/>
        <w:left w:val="none" w:sz="0" w:space="0" w:color="auto"/>
        <w:bottom w:val="none" w:sz="0" w:space="0" w:color="auto"/>
        <w:right w:val="none" w:sz="0" w:space="0" w:color="auto"/>
      </w:divBdr>
    </w:div>
    <w:div w:id="1603804309">
      <w:bodyDiv w:val="1"/>
      <w:marLeft w:val="0"/>
      <w:marRight w:val="0"/>
      <w:marTop w:val="0"/>
      <w:marBottom w:val="0"/>
      <w:divBdr>
        <w:top w:val="none" w:sz="0" w:space="0" w:color="auto"/>
        <w:left w:val="none" w:sz="0" w:space="0" w:color="auto"/>
        <w:bottom w:val="none" w:sz="0" w:space="0" w:color="auto"/>
        <w:right w:val="none" w:sz="0" w:space="0" w:color="auto"/>
      </w:divBdr>
    </w:div>
    <w:div w:id="1786726025">
      <w:bodyDiv w:val="1"/>
      <w:marLeft w:val="0"/>
      <w:marRight w:val="0"/>
      <w:marTop w:val="0"/>
      <w:marBottom w:val="0"/>
      <w:divBdr>
        <w:top w:val="none" w:sz="0" w:space="0" w:color="auto"/>
        <w:left w:val="none" w:sz="0" w:space="0" w:color="auto"/>
        <w:bottom w:val="none" w:sz="0" w:space="0" w:color="auto"/>
        <w:right w:val="none" w:sz="0" w:space="0" w:color="auto"/>
      </w:divBdr>
    </w:div>
    <w:div w:id="2143495298">
      <w:bodyDiv w:val="1"/>
      <w:marLeft w:val="0"/>
      <w:marRight w:val="0"/>
      <w:marTop w:val="0"/>
      <w:marBottom w:val="0"/>
      <w:divBdr>
        <w:top w:val="none" w:sz="0" w:space="0" w:color="auto"/>
        <w:left w:val="none" w:sz="0" w:space="0" w:color="auto"/>
        <w:bottom w:val="none" w:sz="0" w:space="0" w:color="auto"/>
        <w:right w:val="none" w:sz="0" w:space="0" w:color="auto"/>
      </w:divBdr>
      <w:divsChild>
        <w:div w:id="2782596">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si@nationalarchives.gsi.gov.uk" TargetMode="External"/><Relationship Id="rId18" Type="http://schemas.openxmlformats.org/officeDocument/2006/relationships/footer" Target="footer2.xml"/><Relationship Id="rId26" Type="http://schemas.openxmlformats.org/officeDocument/2006/relationships/hyperlink" Target="Safeguardshttps://socialcare.blog.gov.uk/2020/01/24/from-dols-to-lps-an-important-time-for-mental-capacity/" TargetMode="External"/><Relationship Id="rId39" Type="http://schemas.openxmlformats.org/officeDocument/2006/relationships/hyperlink" Target="https://www.gov.uk/government/publications/domestic-violence-crime-and-victims-act-2004-rights-of-victims" TargetMode="External"/><Relationship Id="rId21" Type="http://schemas.openxmlformats.org/officeDocument/2006/relationships/hyperlink" Target="https://assets.publishing.service.gov.uk/government/uploads/system/uploads/attachment_data/file/822707/MHCS_Targets_19_20.pdf" TargetMode="External"/><Relationship Id="rId34" Type="http://schemas.openxmlformats.org/officeDocument/2006/relationships/hyperlink" Target="https://assets.publishing.service.gov.uk/government/uploads/system/uploads/attachment_data/file/435512/MHA_Code_of_Practice.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gov.uk/government/publications/domestic-violence-crime-and-victims-act-2004-rights-of-victims" TargetMode="External"/><Relationship Id="rId41" Type="http://schemas.openxmlformats.org/officeDocument/2006/relationships/hyperlink" Target="https://www.gov.uk/guidance/deprivation-of-liberty-orders%23over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resume-a-prosecution-when-a-patient-becomes-fit-to-plead" TargetMode="External"/><Relationship Id="rId32" Type="http://schemas.openxmlformats.org/officeDocument/2006/relationships/hyperlink" Target="https://www.gov.uk/government/publications/multi-agency-public-protection-arrangements-mappa-and-the-restricted-patient-system" TargetMode="External"/><Relationship Id="rId37" Type="http://schemas.openxmlformats.org/officeDocument/2006/relationships/hyperlink" Target="https://en.wikipedia.org/wiki/HM_Prison_and_Probation_Service" TargetMode="External"/><Relationship Id="rId40" Type="http://schemas.openxmlformats.org/officeDocument/2006/relationships/hyperlink" Target="https://assets.publishing.service.gov.uk/government/uploads/system/uploads/attachment_data/file/497253/Mental-capacity-act-code-of-practice.pdf?_ga=2.217403989.213651607.1566915162-903884348.1566915162"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assets.publishing.service.gov.uk/government/uploads/system/uploads/attachment_data/file/670671/RP_Background_Brief_v1_Dec_2017.pdf" TargetMode="External"/><Relationship Id="rId28" Type="http://schemas.openxmlformats.org/officeDocument/2006/relationships/hyperlink" Target="https://www.gov.uk/government/publications/submit-a-conditional-discharge-request-for-restricted-patients" TargetMode="External"/><Relationship Id="rId36" Type="http://schemas.openxmlformats.org/officeDocument/2006/relationships/hyperlink" Target="https://en.wikipedia.org/wiki/Ministry_of_Justice_(United_Kingdom)"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mappa.justice.gov.uk/connect.ti/MAPPA/group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hcscpst@justice.gov.uk" TargetMode="External"/><Relationship Id="rId22" Type="http://schemas.openxmlformats.org/officeDocument/2006/relationships/hyperlink" Target="https://www.gov.uk/government/publications/submit-a-conditional-discharge-request-for-restricted-patients" TargetMode="External"/><Relationship Id="rId27" Type="http://schemas.openxmlformats.org/officeDocument/2006/relationships/hyperlink" Target="https://assets.publishing.service.gov.uk/government/uploads/system/uploads/attachment_data/file/771004/DoL_guidance_v1_Jan2019.pdf." TargetMode="External"/><Relationship Id="rId30" Type="http://schemas.openxmlformats.org/officeDocument/2006/relationships/hyperlink" Target="https://www.gov.uk/government/publications/the-code-of-practice-for-victims-of-crime" TargetMode="External"/><Relationship Id="rId35" Type="http://schemas.openxmlformats.org/officeDocument/2006/relationships/hyperlink" Target="https://en.wikipedia.org/wiki/Carltona_doctrine"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nationalarchives.gov.uk/doc/open-government-licence/version/3/" TargetMode="External"/><Relationship Id="rId17" Type="http://schemas.openxmlformats.org/officeDocument/2006/relationships/footer" Target="footer1.xml"/><Relationship Id="rId25" Type="http://schemas.openxmlformats.org/officeDocument/2006/relationships/hyperlink" Target="mailto:fnorcmdoenquiries@homeoffice.gov.uk" TargetMode="External"/><Relationship Id="rId33" Type="http://schemas.openxmlformats.org/officeDocument/2006/relationships/hyperlink" Target="https://en.wikipedia.org/wiki/Mental_Health_Act_1983" TargetMode="External"/><Relationship Id="rId38" Type="http://schemas.openxmlformats.org/officeDocument/2006/relationships/hyperlink" Target="https://www.gov.uk/government/collections/mentally-disordered-offender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A1BCE5A94754C88A30F9E4BF93E76" ma:contentTypeVersion="6" ma:contentTypeDescription="Create a new document." ma:contentTypeScope="" ma:versionID="34d53dade99005ede26d05f797fe1195">
  <xsd:schema xmlns:xsd="http://www.w3.org/2001/XMLSchema" xmlns:xs="http://www.w3.org/2001/XMLSchema" xmlns:p="http://schemas.microsoft.com/office/2006/metadata/properties" xmlns:ns2="aa08f6ad-1a30-4b7a-9302-e70d9b6e8b03" xmlns:ns3="d85ff741-4388-41b0-8a59-db362f1052e6" targetNamespace="http://schemas.microsoft.com/office/2006/metadata/properties" ma:root="true" ma:fieldsID="4745e0f74e4861a68baeda233bcfa952" ns2:_="" ns3:_="">
    <xsd:import namespace="aa08f6ad-1a30-4b7a-9302-e70d9b6e8b03"/>
    <xsd:import namespace="d85ff741-4388-41b0-8a59-db362f1052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8f6ad-1a30-4b7a-9302-e70d9b6e8b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ff741-4388-41b0-8a59-db362f1052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a08f6ad-1a30-4b7a-9302-e70d9b6e8b03">
      <UserInfo>
        <DisplayName>Peck, James [NOMS]</DisplayName>
        <AccountId>28</AccountId>
        <AccountType/>
      </UserInfo>
    </SharedWithUsers>
  </documentManagement>
</p:properties>
</file>

<file path=customXml/itemProps1.xml><?xml version="1.0" encoding="utf-8"?>
<ds:datastoreItem xmlns:ds="http://schemas.openxmlformats.org/officeDocument/2006/customXml" ds:itemID="{0D78834A-6024-45A6-89B2-8114643D8AB5}">
  <ds:schemaRefs>
    <ds:schemaRef ds:uri="http://schemas.openxmlformats.org/officeDocument/2006/bibliography"/>
  </ds:schemaRefs>
</ds:datastoreItem>
</file>

<file path=customXml/itemProps2.xml><?xml version="1.0" encoding="utf-8"?>
<ds:datastoreItem xmlns:ds="http://schemas.openxmlformats.org/officeDocument/2006/customXml" ds:itemID="{FEE3085E-2520-46E1-AE4A-B227576035F1}">
  <ds:schemaRefs>
    <ds:schemaRef ds:uri="http://schemas.microsoft.com/sharepoint/v3/contenttype/forms"/>
  </ds:schemaRefs>
</ds:datastoreItem>
</file>

<file path=customXml/itemProps3.xml><?xml version="1.0" encoding="utf-8"?>
<ds:datastoreItem xmlns:ds="http://schemas.openxmlformats.org/officeDocument/2006/customXml" ds:itemID="{CE5B69F8-8F5C-4CE9-84AA-2E375C3A6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8f6ad-1a30-4b7a-9302-e70d9b6e8b03"/>
    <ds:schemaRef ds:uri="d85ff741-4388-41b0-8a59-db362f105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6AF81-F404-450D-B144-E1275E99FC90}">
  <ds:schemaRefs>
    <ds:schemaRef ds:uri="http://schemas.microsoft.com/office/2006/metadata/properties"/>
    <ds:schemaRef ds:uri="http://schemas.microsoft.com/office/infopath/2007/PartnerControls"/>
    <ds:schemaRef ds:uri="aa08f6ad-1a30-4b7a-9302-e70d9b6e8b0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HMPPS Report Template</vt:lpstr>
    </vt:vector>
  </TitlesOfParts>
  <Manager>HM Prison &amp; Probation Service</Manager>
  <Company>HM Prison &amp; Probation Service</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Report Template</dc:title>
  <dc:subject>HMPPS Report Template</dc:subject>
  <dc:creator>O'Prey, Natalya [NOMS]</dc:creator>
  <cp:keywords/>
  <dc:description/>
  <cp:lastModifiedBy>Sutton, Emma</cp:lastModifiedBy>
  <cp:revision>2</cp:revision>
  <cp:lastPrinted>2019-01-08T17:37:00Z</cp:lastPrinted>
  <dcterms:created xsi:type="dcterms:W3CDTF">2022-09-22T12:14:00Z</dcterms:created>
  <dcterms:modified xsi:type="dcterms:W3CDTF">2022-09-22T12:14:00Z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0x010100E5FA1BCE5A94754C88A30F9E4BF93E76</vt:lpwstr>
  </property>
</Properties>
</file>